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media/image1.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tabs>
          <w:tab w:val="clear" w:pos="720"/>
          <w:tab w:val="left" w:pos="2835" w:leader="none"/>
        </w:tabs>
        <w:rPr>
          <w:rFonts w:ascii="Calibri" w:hAnsi="Calibri" w:cs="Calibri" w:asciiTheme="minorHAnsi" w:cstheme="minorHAnsi" w:hAnsiTheme="minorHAnsi" w:hint="eastAsia"/>
        </w:rPr>
      </w:pPr>
      <w:r>
        <w:rPr>
          <w:rFonts w:cs="Calibri" w:cstheme="minorHAnsi" w:hint="eastAsia" w:ascii="Calibri" w:hAnsi="Calibri"/>
        </w:rPr>
      </w:r>
    </w:p>
    <w:p>
      <w:pPr>
        <w:pStyle w:val="Title"/>
        <w:rPr>
          <w:rFonts w:ascii="Calibri" w:hAnsi="Calibri" w:cs="Calibri" w:asciiTheme="minorHAnsi" w:cstheme="minorHAnsi" w:hAnsiTheme="minorHAnsi" w:hint="eastAsia"/>
          <w:color w:val="0070C0"/>
        </w:rPr>
      </w:pPr>
      <w:r>
        <w:rPr>
          <w:rFonts w:cs="Calibri" w:ascii="Calibri" w:hAnsi="Calibri" w:asciiTheme="minorHAnsi" w:cstheme="minorHAnsi" w:hAnsiTheme="minorHAnsi"/>
          <w:color w:val="0070C0"/>
        </w:rPr>
        <w:t>Procedure for endorsing MCP identity service providers</w:t>
      </w:r>
    </w:p>
    <w:p>
      <w:pPr>
        <w:pStyle w:val="Title"/>
        <w:jc w:val="start"/>
        <w:rPr>
          <w:rFonts w:ascii="Calibri" w:hAnsi="Calibri" w:cs="Calibri" w:asciiTheme="minorHAnsi" w:cstheme="minorHAnsi" w:hAnsiTheme="minorHAnsi" w:hint="eastAsia"/>
          <w:color w:val="0070C0"/>
          <w:sz w:val="24"/>
          <w:szCs w:val="24"/>
          <w:lang w:eastAsia="ko-KR"/>
        </w:rPr>
      </w:pPr>
      <w:r>
        <w:rPr>
          <w:rFonts w:cs="Calibri" w:ascii="Calibri" w:hAnsi="Calibri" w:asciiTheme="minorHAnsi" w:cstheme="minorHAnsi" w:hAnsiTheme="minorHAnsi"/>
          <w:color w:val="0070C0"/>
          <w:sz w:val="24"/>
          <w:szCs w:val="24"/>
          <w:lang w:eastAsia="ko-KR"/>
        </w:rPr>
        <w:t>Document Revision</w:t>
      </w:r>
    </w:p>
    <w:tbl>
      <w:tblPr>
        <w:tblW w:w="9421" w:type="dxa"/>
        <w:jc w:val="start"/>
        <w:tblInd w:w="0" w:type="dxa"/>
        <w:tblLayout w:type="fixed"/>
        <w:tblCellMar>
          <w:top w:w="0" w:type="dxa"/>
          <w:start w:w="108" w:type="dxa"/>
          <w:bottom w:w="0" w:type="dxa"/>
          <w:end w:w="108" w:type="dxa"/>
        </w:tblCellMar>
        <w:tblLook w:val="04a0" w:noVBand="1" w:noHBand="0" w:lastColumn="0" w:firstColumn="1" w:lastRow="0" w:firstRow="1"/>
      </w:tblPr>
      <w:tblGrid>
        <w:gridCol w:w="1125"/>
        <w:gridCol w:w="1987"/>
        <w:gridCol w:w="4421"/>
        <w:gridCol w:w="1888"/>
      </w:tblGrid>
      <w:tr>
        <w:trPr>
          <w:trHeight w:val="487" w:hRule="atLeast"/>
        </w:trPr>
        <w:tc>
          <w:tcPr>
            <w:tcW w:w="9421" w:type="dxa"/>
            <w:gridSpan w:val="4"/>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hint="eastAsia"/>
                <w:bCs w:val="false"/>
                <w:color w:val="FFFFFF"/>
                <w:kern w:val="0"/>
                <w:sz w:val="22"/>
                <w:szCs w:val="22"/>
                <w:lang w:eastAsia="ko-KR"/>
              </w:rPr>
            </w:pPr>
            <w:r>
              <w:rPr>
                <w:rFonts w:cs="Calibri" w:ascii="Calibri" w:hAnsi="Calibri" w:asciiTheme="minorHAnsi" w:cstheme="minorHAnsi" w:hAnsiTheme="minorHAnsi"/>
                <w:bCs w:val="false"/>
                <w:color w:val="FFFFFF"/>
                <w:kern w:val="0"/>
                <w:sz w:val="22"/>
                <w:szCs w:val="22"/>
                <w:lang w:eastAsia="ko-KR"/>
              </w:rPr>
              <w:t>ID: MCP Gen 7</w:t>
            </w:r>
          </w:p>
        </w:tc>
      </w:tr>
      <w:tr>
        <w:trPr/>
        <w:tc>
          <w:tcPr>
            <w:tcW w:w="1125"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hint="eastAsia"/>
                <w:bCs w:val="false"/>
                <w:color w:val="FFFFFF"/>
                <w:kern w:val="0"/>
                <w:sz w:val="22"/>
                <w:szCs w:val="22"/>
              </w:rPr>
            </w:pPr>
            <w:r>
              <w:rPr>
                <w:rFonts w:cs="Calibri" w:ascii="Calibri" w:hAnsi="Calibri" w:asciiTheme="minorHAnsi" w:cstheme="minorHAnsi" w:hAnsiTheme="minorHAnsi"/>
                <w:bCs w:val="false"/>
                <w:color w:val="FFFFFF"/>
                <w:kern w:val="0"/>
                <w:sz w:val="22"/>
                <w:szCs w:val="22"/>
              </w:rPr>
              <w:t>Version</w:t>
            </w:r>
          </w:p>
        </w:tc>
        <w:tc>
          <w:tcPr>
            <w:tcW w:w="1987"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hint="eastAsia"/>
                <w:bCs w:val="false"/>
                <w:color w:val="FFFFFF"/>
                <w:kern w:val="0"/>
                <w:sz w:val="22"/>
                <w:szCs w:val="22"/>
              </w:rPr>
            </w:pPr>
            <w:r>
              <w:rPr>
                <w:rFonts w:cs="Calibri" w:ascii="Calibri" w:hAnsi="Calibri" w:asciiTheme="minorHAnsi" w:cstheme="minorHAnsi" w:hAnsiTheme="minorHAnsi"/>
                <w:bCs w:val="false"/>
                <w:color w:val="FFFFFF"/>
                <w:kern w:val="0"/>
                <w:sz w:val="22"/>
                <w:szCs w:val="22"/>
              </w:rPr>
              <w:t>Author(s)</w:t>
            </w:r>
          </w:p>
        </w:tc>
        <w:tc>
          <w:tcPr>
            <w:tcW w:w="4421"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hint="eastAsia"/>
                <w:bCs w:val="false"/>
                <w:color w:val="FFFFFF"/>
                <w:kern w:val="0"/>
                <w:sz w:val="22"/>
                <w:szCs w:val="22"/>
              </w:rPr>
            </w:pPr>
            <w:r>
              <w:rPr>
                <w:rFonts w:cs="Calibri" w:ascii="Calibri" w:hAnsi="Calibri" w:asciiTheme="minorHAnsi" w:cstheme="minorHAnsi" w:hAnsiTheme="minorHAnsi"/>
                <w:bCs w:val="false"/>
                <w:color w:val="FFFFFF"/>
                <w:kern w:val="0"/>
                <w:sz w:val="22"/>
                <w:szCs w:val="22"/>
              </w:rPr>
              <w:t>Nature of change</w:t>
            </w:r>
          </w:p>
        </w:tc>
        <w:tc>
          <w:tcPr>
            <w:tcW w:w="1888"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hint="eastAsia"/>
                <w:color w:val="FFFFFF"/>
                <w:sz w:val="22"/>
                <w:szCs w:val="22"/>
              </w:rPr>
            </w:pPr>
            <w:r>
              <w:rPr>
                <w:rFonts w:cs="Calibri" w:ascii="Calibri" w:hAnsi="Calibri" w:asciiTheme="minorHAnsi" w:cstheme="minorHAnsi" w:hAnsiTheme="minorHAnsi"/>
                <w:bCs w:val="false"/>
                <w:color w:val="FFFFFF"/>
                <w:kern w:val="0"/>
                <w:sz w:val="22"/>
                <w:szCs w:val="22"/>
              </w:rPr>
              <w:t xml:space="preserve"> </w:t>
            </w:r>
            <w:r>
              <w:rPr>
                <w:rFonts w:cs="Calibri" w:ascii="Calibri" w:hAnsi="Calibri" w:asciiTheme="minorHAnsi" w:cstheme="minorHAnsi" w:hAnsiTheme="minorHAnsi"/>
                <w:bCs w:val="false"/>
                <w:color w:val="FFFFFF"/>
                <w:kern w:val="0"/>
                <w:sz w:val="22"/>
                <w:szCs w:val="22"/>
              </w:rPr>
              <w:t>Date of adoption</w:t>
            </w:r>
          </w:p>
        </w:tc>
      </w:tr>
      <w:tr>
        <w:trPr/>
        <w:tc>
          <w:tcPr>
            <w:tcW w:w="1125"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ascii="Calibri" w:hAnsi="Calibri" w:asciiTheme="minorHAnsi" w:cstheme="minorHAnsi" w:hAnsiTheme="minorHAnsi"/>
              </w:rPr>
              <w:t>1.0</w:t>
            </w:r>
          </w:p>
        </w:tc>
        <w:tc>
          <w:tcPr>
            <w:tcW w:w="1987"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ascii="Calibri" w:hAnsi="Calibri" w:asciiTheme="minorHAnsi" w:cstheme="minorHAnsi" w:hAnsiTheme="minorHAnsi"/>
              </w:rPr>
              <w:t>Thomas Christensen</w:t>
            </w:r>
          </w:p>
        </w:tc>
        <w:tc>
          <w:tcPr>
            <w:tcW w:w="4421"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ascii="Calibri" w:hAnsi="Calibri" w:asciiTheme="minorHAnsi" w:cstheme="minorHAnsi" w:hAnsiTheme="minorHAnsi"/>
              </w:rPr>
              <w:t>Initial version</w:t>
            </w:r>
          </w:p>
        </w:tc>
        <w:tc>
          <w:tcPr>
            <w:tcW w:w="1888" w:type="dxa"/>
            <w:tcBorders>
              <w:top w:val="single" w:sz="4" w:space="0" w:color="000000"/>
              <w:start w:val="single" w:sz="4" w:space="0" w:color="000000"/>
              <w:bottom w:val="single" w:sz="4" w:space="0" w:color="000000"/>
              <w:end w:val="single" w:sz="4" w:space="0" w:color="000000"/>
            </w:tcBorders>
          </w:tcPr>
          <w:p>
            <w:pPr>
              <w:pStyle w:val="BodyText"/>
              <w:widowControl w:val="false"/>
              <w:rPr>
                <w:rFonts w:ascii="Calibri" w:hAnsi="Calibri" w:cs="Calibri" w:asciiTheme="minorHAnsi" w:cstheme="minorHAnsi" w:hAnsiTheme="minorHAnsi" w:hint="eastAsia"/>
              </w:rPr>
            </w:pPr>
            <w:r>
              <w:rPr>
                <w:rFonts w:cs="Calibri" w:ascii="Calibri" w:hAnsi="Calibri" w:asciiTheme="minorHAnsi" w:cstheme="minorHAnsi" w:hAnsiTheme="minorHAnsi"/>
              </w:rPr>
              <w:t>General assembly meeting #5</w:t>
            </w:r>
          </w:p>
          <w:p>
            <w:pPr>
              <w:pStyle w:val="BodyText"/>
              <w:widowControl w:val="false"/>
              <w:spacing w:before="0" w:after="120"/>
              <w:rPr>
                <w:rFonts w:ascii="Calibri" w:hAnsi="Calibri" w:cs="Calibri" w:asciiTheme="minorHAnsi" w:cstheme="minorHAnsi" w:hAnsiTheme="minorHAnsi" w:hint="eastAsia"/>
              </w:rPr>
            </w:pPr>
            <w:r>
              <w:rPr>
                <w:rFonts w:cs="Calibri" w:ascii="Calibri" w:hAnsi="Calibri" w:asciiTheme="minorHAnsi" w:cstheme="minorHAnsi" w:hAnsiTheme="minorHAnsi"/>
              </w:rPr>
              <w:t>December 6, 2021</w:t>
            </w:r>
          </w:p>
        </w:tc>
      </w:tr>
      <w:tr>
        <w:trPr/>
        <w:tc>
          <w:tcPr>
            <w:tcW w:w="1125"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ascii="Calibri" w:hAnsi="Calibri" w:asciiTheme="minorHAnsi" w:cstheme="minorHAnsi" w:hAnsiTheme="minorHAnsi"/>
              </w:rPr>
              <w:t>1.1</w:t>
            </w:r>
          </w:p>
        </w:tc>
        <w:tc>
          <w:tcPr>
            <w:tcW w:w="1987"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ascii="Calibri" w:hAnsi="Calibri" w:asciiTheme="minorHAnsi" w:cstheme="minorHAnsi" w:hAnsiTheme="minorHAnsi"/>
              </w:rPr>
              <w:t>Thomas Christensen</w:t>
            </w:r>
          </w:p>
        </w:tc>
        <w:tc>
          <w:tcPr>
            <w:tcW w:w="4421" w:type="dxa"/>
            <w:tcBorders>
              <w:top w:val="single" w:sz="4" w:space="0" w:color="000000"/>
              <w:start w:val="single" w:sz="4" w:space="0" w:color="000000"/>
              <w:bottom w:val="single" w:sz="4" w:space="0" w:color="000000"/>
              <w:end w:val="single" w:sz="4" w:space="0" w:color="000000"/>
            </w:tcBorders>
          </w:tcPr>
          <w:p>
            <w:pPr>
              <w:pStyle w:val="BodyText"/>
              <w:widowControl w:val="false"/>
              <w:numPr>
                <w:ilvl w:val="0"/>
                <w:numId w:val="14"/>
              </w:numPr>
              <w:rPr>
                <w:rFonts w:ascii="Calibri" w:hAnsi="Calibri" w:cs="Calibri" w:asciiTheme="minorHAnsi" w:cstheme="minorHAnsi" w:hAnsiTheme="minorHAnsi" w:hint="eastAsia"/>
              </w:rPr>
            </w:pPr>
            <w:r>
              <w:rPr>
                <w:rFonts w:cs="Calibri" w:ascii="Calibri" w:hAnsi="Calibri" w:asciiTheme="minorHAnsi" w:cstheme="minorHAnsi" w:hAnsiTheme="minorHAnsi"/>
              </w:rPr>
              <w:t>Step 7 – one or more IPID’s instead of just one</w:t>
            </w:r>
          </w:p>
          <w:p>
            <w:pPr>
              <w:pStyle w:val="BodyText"/>
              <w:widowControl w:val="false"/>
              <w:numPr>
                <w:ilvl w:val="0"/>
                <w:numId w:val="14"/>
              </w:numPr>
              <w:rPr>
                <w:rFonts w:ascii="Calibri" w:hAnsi="Calibri" w:cs="Calibri" w:asciiTheme="minorHAnsi" w:cstheme="minorHAnsi" w:hAnsiTheme="minorHAnsi" w:hint="eastAsia"/>
              </w:rPr>
            </w:pPr>
            <w:r>
              <w:rPr>
                <w:rFonts w:cs="Calibri" w:ascii="Calibri" w:hAnsi="Calibri" w:asciiTheme="minorHAnsi" w:cstheme="minorHAnsi" w:hAnsiTheme="minorHAnsi"/>
              </w:rPr>
              <w:t>Recurrence section added</w:t>
            </w:r>
          </w:p>
          <w:p>
            <w:pPr>
              <w:pStyle w:val="BodyText"/>
              <w:widowControl w:val="false"/>
              <w:numPr>
                <w:ilvl w:val="0"/>
                <w:numId w:val="14"/>
              </w:numPr>
              <w:spacing w:before="0" w:after="120"/>
              <w:rPr>
                <w:rFonts w:ascii="Calibri" w:hAnsi="Calibri" w:cs="Calibri" w:asciiTheme="minorHAnsi" w:cstheme="minorHAnsi" w:hAnsiTheme="minorHAnsi" w:hint="eastAsia"/>
              </w:rPr>
            </w:pPr>
            <w:r>
              <w:rPr>
                <w:rFonts w:cs="Calibri" w:ascii="Calibri" w:hAnsi="Calibri" w:asciiTheme="minorHAnsi" w:cstheme="minorHAnsi" w:hAnsiTheme="minorHAnsi"/>
              </w:rPr>
              <w:t>Added step 4 regarding data privacy</w:t>
            </w:r>
          </w:p>
        </w:tc>
        <w:tc>
          <w:tcPr>
            <w:tcW w:w="1888"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cstheme="minorHAnsi" w:hint="eastAsia" w:ascii="Calibri" w:hAnsi="Calibri"/>
              </w:rPr>
            </w:r>
          </w:p>
        </w:tc>
      </w:tr>
      <w:tr>
        <w:trPr/>
        <w:tc>
          <w:tcPr>
            <w:tcW w:w="1125"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asciiTheme="minorHAnsi" w:cstheme="minorHAnsi" w:hAnsiTheme="minorHAnsi"/>
                <w:color w:val="000000"/>
                <w:shd w:fill="auto" w:val="clear"/>
              </w:rPr>
              <w:t>1.2 DRAFT</w:t>
            </w:r>
          </w:p>
        </w:tc>
        <w:tc>
          <w:tcPr>
            <w:tcW w:w="1987"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asciiTheme="minorHAnsi" w:cstheme="minorHAnsi" w:hAnsiTheme="minorHAnsi"/>
                <w:color w:val="000000"/>
                <w:shd w:fill="auto" w:val="clear"/>
              </w:rPr>
              <w:t>Julius Moeller</w:t>
            </w:r>
          </w:p>
        </w:tc>
        <w:tc>
          <w:tcPr>
            <w:tcW w:w="4421"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asciiTheme="minorHAnsi" w:cstheme="minorHAnsi" w:hAnsiTheme="minorHAnsi"/>
                <w:color w:val="000000"/>
                <w:shd w:fill="auto" w:val="clear"/>
              </w:rPr>
              <w:t>Full rewrite – clarified roles, reordered steps, added Board guidance and detailed checklists</w:t>
            </w:r>
          </w:p>
        </w:tc>
        <w:tc>
          <w:tcPr>
            <w:tcW w:w="1888"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cstheme="minorHAnsi" w:hint="eastAsia" w:ascii="Calibri" w:hAnsi="Calibri"/>
              </w:rPr>
            </w:r>
          </w:p>
        </w:tc>
      </w:tr>
      <w:tr>
        <w:trPr/>
        <w:tc>
          <w:tcPr>
            <w:tcW w:w="1125" w:type="dxa"/>
            <w:tcBorders>
              <w:start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cstheme="minorHAnsi"/>
                <w:color w:val="000000"/>
                <w:shd w:fill="auto" w:val="clear"/>
              </w:rPr>
              <w:t>1.3 draft‍</w:t>
            </w:r>
          </w:p>
        </w:tc>
        <w:tc>
          <w:tcPr>
            <w:tcW w:w="1987" w:type="dxa"/>
            <w:tcBorders>
              <w:start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cstheme="minorHAnsi"/>
                <w:color w:val="000000"/>
                <w:shd w:fill="auto" w:val="clear"/>
              </w:rPr>
              <w:t>Thomas Christensen</w:t>
            </w:r>
          </w:p>
        </w:tc>
        <w:tc>
          <w:tcPr>
            <w:tcW w:w="4421" w:type="dxa"/>
            <w:tcBorders>
              <w:start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cstheme="minorHAnsi"/>
                <w:color w:val="000000"/>
                <w:shd w:fill="auto" w:val="clear"/>
              </w:rPr>
              <w:t>Inserted changes from "other" verison 1.2. Problem with versioning.</w:t>
            </w:r>
          </w:p>
        </w:tc>
        <w:tc>
          <w:tcPr>
            <w:tcW w:w="1888" w:type="dxa"/>
            <w:tcBorders>
              <w:start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cstheme="minorHAnsi" w:hint="eastAsia" w:ascii="Calibri" w:hAnsi="Calibri"/>
              </w:rPr>
            </w:r>
          </w:p>
        </w:tc>
      </w:tr>
      <w:tr>
        <w:trPr/>
        <w:tc>
          <w:tcPr>
            <w:tcW w:w="1125" w:type="dxa"/>
            <w:tcBorders>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cstheme="minorHAnsi"/>
                <w:color w:val="000000"/>
                <w:highlight w:val="none"/>
                <w:shd w:fill="auto" w:val="clear"/>
              </w:rPr>
            </w:pPr>
            <w:r>
              <w:rPr>
                <w:rFonts w:cs="Calibri" w:cstheme="minorHAnsi" w:ascii="Calibri" w:hAnsi="Calibri"/>
                <w:color w:val="000000"/>
                <w:shd w:fill="auto" w:val="clear"/>
              </w:rPr>
              <w:t>‍</w:t>
            </w:r>
          </w:p>
        </w:tc>
        <w:tc>
          <w:tcPr>
            <w:tcW w:w="1987" w:type="dxa"/>
            <w:tcBorders>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cstheme="minorHAnsi"/>
                <w:color w:val="000000"/>
                <w:highlight w:val="none"/>
                <w:shd w:fill="auto" w:val="clear"/>
              </w:rPr>
            </w:pPr>
            <w:r>
              <w:rPr>
                <w:rFonts w:cs="Calibri" w:cstheme="minorHAnsi" w:ascii="Calibri" w:hAnsi="Calibri"/>
                <w:color w:val="000000"/>
                <w:shd w:fill="auto" w:val="clear"/>
              </w:rPr>
            </w:r>
          </w:p>
        </w:tc>
        <w:tc>
          <w:tcPr>
            <w:tcW w:w="4421" w:type="dxa"/>
            <w:tcBorders>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cstheme="minorHAnsi"/>
                <w:color w:val="000000"/>
                <w:highlight w:val="none"/>
                <w:shd w:fill="auto" w:val="clear"/>
              </w:rPr>
            </w:pPr>
            <w:r>
              <w:rPr>
                <w:rFonts w:cs="Calibri" w:cstheme="minorHAnsi" w:ascii="Calibri" w:hAnsi="Calibri"/>
                <w:color w:val="000000"/>
                <w:shd w:fill="auto" w:val="clear"/>
              </w:rPr>
            </w:r>
          </w:p>
        </w:tc>
        <w:tc>
          <w:tcPr>
            <w:tcW w:w="1888" w:type="dxa"/>
            <w:tcBorders>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hint="eastAsia"/>
              </w:rPr>
            </w:pPr>
            <w:r>
              <w:rPr>
                <w:rFonts w:cs="Calibri" w:cstheme="minorHAnsi" w:hint="eastAsia" w:ascii="Calibri" w:hAnsi="Calibri"/>
              </w:rPr>
            </w:r>
          </w:p>
        </w:tc>
      </w:tr>
      <w:tr>
        <w:trPr/>
        <w:tc>
          <w:tcPr>
            <w:tcW w:w="1125" w:type="dxa"/>
            <w:tcBorders>
              <w:start w:val="single" w:sz="4" w:space="0" w:color="000000"/>
              <w:bottom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cstheme="minorHAnsi"/>
                <w:color w:val="000000"/>
                <w:shd w:fill="auto" w:val="clear"/>
              </w:rPr>
              <w:t>1.4</w:t>
            </w:r>
          </w:p>
        </w:tc>
        <w:tc>
          <w:tcPr>
            <w:tcW w:w="1987" w:type="dxa"/>
            <w:tcBorders>
              <w:start w:val="single" w:sz="4" w:space="0" w:color="000000"/>
              <w:bottom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cstheme="minorHAnsi"/>
                <w:color w:val="000000"/>
                <w:shd w:fill="auto" w:val="clear"/>
              </w:rPr>
              <w:t>Thomas Christensen, Jakob Svenningsen</w:t>
            </w:r>
          </w:p>
        </w:tc>
        <w:tc>
          <w:tcPr>
            <w:tcW w:w="4421" w:type="dxa"/>
            <w:tcBorders>
              <w:start w:val="single" w:sz="4" w:space="0" w:color="000000"/>
              <w:bottom w:val="single" w:sz="4" w:space="0" w:color="000000"/>
              <w:end w:val="single" w:sz="4" w:space="0" w:color="000000"/>
            </w:tcBorders>
          </w:tcPr>
          <w:p>
            <w:pPr>
              <w:pStyle w:val="BodyText"/>
              <w:widowControl w:val="false"/>
              <w:spacing w:before="0" w:after="120"/>
              <w:rPr>
                <w:color w:val="000000"/>
                <w:highlight w:val="none"/>
                <w:shd w:fill="auto" w:val="clear"/>
              </w:rPr>
            </w:pPr>
            <w:r>
              <w:rPr>
                <w:rFonts w:cs="Calibri" w:ascii="Calibri" w:hAnsi="Calibri" w:cstheme="minorHAnsi"/>
                <w:color w:val="000000"/>
                <w:shd w:fill="auto" w:val="clear"/>
              </w:rPr>
              <w:t>Editorial changes and minor clarifications in the endorsement procedure.</w:t>
            </w:r>
          </w:p>
        </w:tc>
        <w:tc>
          <w:tcPr>
            <w:tcW w:w="1888" w:type="dxa"/>
            <w:tcBorders>
              <w:start w:val="single" w:sz="4" w:space="0" w:color="000000"/>
              <w:bottom w:val="single" w:sz="4" w:space="0" w:color="000000"/>
              <w:end w:val="single" w:sz="4" w:space="0" w:color="000000"/>
            </w:tcBorders>
          </w:tcPr>
          <w:p>
            <w:pPr>
              <w:pStyle w:val="BodyText"/>
              <w:widowControl w:val="false"/>
              <w:spacing w:before="0" w:after="120"/>
              <w:ind w:hanging="0" w:start="0"/>
              <w:jc w:val="start"/>
              <w:rPr>
                <w:rFonts w:ascii="Calibri" w:hAnsi="Calibri" w:cs="Calibri" w:asciiTheme="minorHAnsi" w:cstheme="minorHAnsi" w:hAnsiTheme="minorHAnsi" w:hint="eastAsia"/>
              </w:rPr>
            </w:pPr>
            <w:r>
              <w:rPr>
                <w:rFonts w:cs="Calibri" w:cstheme="minorHAnsi" w:hint="eastAsia" w:ascii="Calibri" w:hAnsi="Calibri"/>
              </w:rPr>
              <w:t>Board meeting march 11 2026</w:t>
            </w:r>
          </w:p>
        </w:tc>
      </w:tr>
    </w:tbl>
    <w:p>
      <w:pPr>
        <w:pStyle w:val="Title"/>
        <w:rPr>
          <w:rFonts w:ascii="Calibri" w:hAnsi="Calibri" w:cs="Calibri" w:asciiTheme="minorHAnsi" w:cstheme="minorHAnsi" w:hAnsiTheme="minorHAnsi" w:hint="eastAsia"/>
        </w:rPr>
      </w:pPr>
      <w:r>
        <w:rPr>
          <w:rFonts w:cs="Calibri" w:cstheme="minorHAnsi"/>
        </w:rPr>
        <w:t>Purpose</w:t>
      </w:r>
    </w:p>
    <w:p>
      <w:pPr>
        <w:pStyle w:val="BodyText"/>
        <w:rPr>
          <w:rFonts w:ascii="Calibri" w:hAnsi="Calibri" w:cs="Calibri" w:asciiTheme="minorHAnsi" w:cstheme="minorHAnsi" w:hAnsiTheme="minorHAnsi" w:hint="eastAsia"/>
          <w:sz w:val="24"/>
          <w:szCs w:val="24"/>
          <w:lang w:eastAsia="de-DE"/>
        </w:rPr>
      </w:pPr>
      <w:r>
        <w:rPr>
          <w:rFonts w:cs="Calibri" w:ascii="Calibri" w:hAnsi="Calibri" w:asciiTheme="minorHAnsi" w:cstheme="minorHAnsi" w:hAnsiTheme="minorHAnsi"/>
          <w:sz w:val="24"/>
          <w:szCs w:val="24"/>
          <w:lang w:eastAsia="de-DE"/>
        </w:rPr>
        <w:t>This document defines the mandatory process for endorsing MCP identity service providers. It establishes responsibilities, sequencing, and evaluation criteria to ensure that only MCP identity service providers adhering to MCP security, privacy and interoperability requirements are trusted.</w:t>
      </w:r>
    </w:p>
    <w:p>
      <w:pPr>
        <w:pStyle w:val="Heading1"/>
        <w:rPr>
          <w:rFonts w:ascii="Calibri" w:hAnsi="Calibri" w:cs="Calibri" w:asciiTheme="minorHAnsi" w:cstheme="minorHAnsi" w:hAnsiTheme="minorHAnsi" w:hint="eastAsia"/>
        </w:rPr>
      </w:pPr>
      <w:r>
        <w:rPr>
          <w:rFonts w:cs="Calibri" w:cstheme="minorHAnsi"/>
        </w:rPr>
        <w:t>Roles and responsibilities</w:t>
      </w:r>
    </w:p>
    <w:tbl>
      <w:tblPr>
        <w:tblStyle w:val="GridTable4-Accent5"/>
        <w:tblW w:w="9771" w:type="dxa"/>
        <w:jc w:val="start"/>
        <w:tblInd w:w="0" w:type="dxa"/>
        <w:tblLayout w:type="fixed"/>
        <w:tblCellMar>
          <w:top w:w="0" w:type="dxa"/>
          <w:start w:w="108" w:type="dxa"/>
          <w:bottom w:w="0" w:type="dxa"/>
          <w:end w:w="108" w:type="dxa"/>
        </w:tblCellMar>
        <w:tblLook w:val="04a0" w:noVBand="1" w:noHBand="0" w:lastColumn="0" w:firstColumn="1" w:lastRow="0" w:firstRow="1"/>
      </w:tblPr>
      <w:tblGrid>
        <w:gridCol w:w="1304"/>
        <w:gridCol w:w="8467"/>
      </w:tblGrid>
      <w:tr>
        <w:trPr>
          <w:cnfStyle w:val="100000000000" w:firstRow="1" w:lastRow="0" w:firstColumn="0" w:lastColumn="0" w:oddVBand="0" w:evenVBand="0" w:oddHBand="0" w:evenHBand="0" w:firstRowFirstColumn="0" w:firstRowLastColumn="0" w:lastRowFirstColumn="0" w:lastRowLastColumn="0"/>
        </w:trPr>
        <w:tc>
          <w:tcPr>
            <w:tcW w:w="1304" w:type="dxa"/>
            <w:cnfStyle w:val="001000000000" w:firstRow="0" w:lastRow="0" w:firstColumn="1" w:lastColumn="0" w:oddVBand="0" w:evenVBand="0" w:oddHBand="0" w:evenHBand="0" w:firstRowFirstColumn="0" w:firstRowLastColumn="0" w:lastRowFirstColumn="0" w:lastRowLastColumn="0"/>
            <w:tcBorders>
              <w:top w:val="single" w:sz="4" w:space="0" w:color="5B9BD5"/>
              <w:start w:val="single" w:sz="4" w:space="0" w:color="5B9BD5"/>
              <w:bottom w:val="single" w:sz="4" w:space="0" w:color="5B9BD5"/>
              <w:end w:val="single" w:sz="4" w:space="0" w:color="5B9BD5"/>
            </w:tcBorders>
            <w:shd w:color="auto" w:fill="5B9BD5" w:themeFill="accent5" w:val="clear"/>
          </w:tcPr>
          <w:p>
            <w:pPr>
              <w:pStyle w:val="BodyText"/>
              <w:widowControl/>
              <w:suppressAutoHyphens w:val="true"/>
              <w:spacing w:before="0" w:after="120"/>
              <w:rPr>
                <w:rFonts w:ascii="Calibri" w:hAnsi="Calibri" w:cs="Calibri" w:asciiTheme="minorHAnsi" w:cstheme="minorHAnsi" w:hAnsiTheme="minorHAnsi" w:hint="eastAsia"/>
                <w:sz w:val="24"/>
                <w:szCs w:val="24"/>
                <w:lang w:eastAsia="de-DE"/>
              </w:rPr>
            </w:pPr>
            <w:r>
              <w:rPr>
                <w:rFonts w:eastAsia="Batang" w:cs="Calibri" w:ascii="Calibri" w:hAnsi="Calibri" w:asciiTheme="minorHAnsi" w:cstheme="minorHAnsi" w:hAnsiTheme="minorHAnsi"/>
                <w:b/>
                <w:bCs/>
                <w:color w:themeColor="background1" w:val="FFFFFF"/>
                <w:kern w:val="0"/>
                <w:sz w:val="24"/>
                <w:szCs w:val="24"/>
                <w:lang w:val="en-GB" w:eastAsia="de-DE" w:bidi="ar-SA"/>
              </w:rPr>
              <w:t>Role</w:t>
            </w:r>
          </w:p>
        </w:tc>
        <w:tc>
          <w:tcPr>
            <w:tcW w:w="8467" w:type="dxa"/>
            <w:tcBorders>
              <w:top w:val="single" w:sz="4" w:space="0" w:color="5B9BD5"/>
              <w:start w:val="single" w:sz="4" w:space="0" w:color="5B9BD5"/>
              <w:bottom w:val="single" w:sz="4" w:space="0" w:color="5B9BD5"/>
              <w:end w:val="single" w:sz="4" w:space="0" w:color="5B9BD5"/>
            </w:tcBorders>
            <w:shd w:color="auto" w:fill="5B9BD5" w:themeFill="accent5" w:val="clear"/>
          </w:tcPr>
          <w:p>
            <w:pPr>
              <w:pStyle w:val="BodyText"/>
              <w:widowControl/>
              <w:suppressAutoHyphens w:val="true"/>
              <w:spacing w:before="0" w:after="120"/>
              <w:cnfStyle w:val="100000000000" w:firstRow="1"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hint="eastAsia"/>
                <w:sz w:val="24"/>
                <w:szCs w:val="24"/>
                <w:lang w:eastAsia="de-DE"/>
              </w:rPr>
            </w:pPr>
            <w:r>
              <w:rPr>
                <w:rFonts w:eastAsia="Batang" w:cs="Calibri" w:ascii="Calibri" w:hAnsi="Calibri" w:asciiTheme="minorHAnsi" w:cstheme="minorHAnsi" w:hAnsiTheme="minorHAnsi"/>
                <w:b/>
                <w:bCs/>
                <w:color w:themeColor="background1" w:val="FFFFFF"/>
                <w:kern w:val="0"/>
                <w:sz w:val="24"/>
                <w:szCs w:val="24"/>
                <w:lang w:val="en-GB" w:eastAsia="de-DE" w:bidi="ar-SA"/>
              </w:rPr>
              <w:t>Responsibilities</w:t>
            </w:r>
          </w:p>
        </w:tc>
      </w:tr>
      <w:tr>
        <w:trPr>
          <w:cnfStyle w:val="000000100000" w:firstRow="0" w:lastRow="0" w:firstColumn="0" w:lastColumn="0" w:oddVBand="0" w:evenVBand="0" w:oddHBand="1" w:evenHBand="0" w:firstRowFirstColumn="0" w:firstRowLastColumn="0" w:lastRowFirstColumn="0" w:lastRowLastColumn="0"/>
        </w:trPr>
        <w:tc>
          <w:tcPr>
            <w:tcW w:w="1304"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lineRule="auto" w:line="276"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Applicant</w:t>
            </w:r>
          </w:p>
        </w:tc>
        <w:tc>
          <w:tcPr>
            <w:tcW w:w="8467" w:type="dxa"/>
            <w:tcBorders/>
            <w:shd w:color="auto" w:fill="DEEAF6" w:themeFill="accent5" w:themeFillTint="33" w:val="clear"/>
          </w:tcPr>
          <w:p>
            <w:pPr>
              <w:pStyle w:val="Normal"/>
              <w:widowControl/>
              <w:suppressAutoHyphens w:val="false"/>
              <w:overflowPunct w:val="true"/>
              <w:spacing w:lineRule="auto" w:line="276"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Submits complete application package and responds to information requests.</w:t>
            </w:r>
          </w:p>
        </w:tc>
      </w:tr>
      <w:tr>
        <w:trPr/>
        <w:tc>
          <w:tcPr>
            <w:tcW w:w="1304"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lineRule="auto" w:line="276"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Secretariat</w:t>
            </w:r>
          </w:p>
        </w:tc>
        <w:tc>
          <w:tcPr>
            <w:tcW w:w="8467" w:type="dxa"/>
            <w:tcBorders/>
          </w:tcPr>
          <w:p>
            <w:pPr>
              <w:pStyle w:val="Normal"/>
              <w:widowControl/>
              <w:suppressAutoHyphens w:val="false"/>
              <w:overflowPunct w:val="true"/>
              <w:spacing w:lineRule="auto" w:line="276"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Manages the workflow, performs completeness checks, conducts the detailed technical and operational assessment, issues MRN domain(s), maintains records and schedules renewals.</w:t>
            </w:r>
          </w:p>
        </w:tc>
      </w:tr>
      <w:tr>
        <w:trPr>
          <w:cnfStyle w:val="000000100000" w:firstRow="0" w:lastRow="0" w:firstColumn="0" w:lastColumn="0" w:oddVBand="0" w:evenVBand="0" w:oddHBand="1" w:evenHBand="0" w:firstRowFirstColumn="0" w:firstRowLastColumn="0" w:lastRowFirstColumn="0" w:lastRowLastColumn="0"/>
        </w:trPr>
        <w:tc>
          <w:tcPr>
            <w:tcW w:w="1304"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lineRule="auto" w:line="276"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Board</w:t>
            </w:r>
          </w:p>
        </w:tc>
        <w:tc>
          <w:tcPr>
            <w:tcW w:w="8467" w:type="dxa"/>
            <w:tcBorders/>
            <w:shd w:color="auto" w:fill="DEEAF6" w:themeFill="accent5" w:themeFillTint="33" w:val="clear"/>
          </w:tcPr>
          <w:p>
            <w:pPr>
              <w:pStyle w:val="Normal"/>
              <w:widowControl/>
              <w:suppressAutoHyphens w:val="false"/>
              <w:overflowPunct w:val="true"/>
              <w:spacing w:lineRule="auto" w:line="276"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Provides strategic oversight, nominates rapporteurs, reviews Secretariat’s report and decides on endorsement, conditional endorsement or rejection.</w:t>
            </w:r>
          </w:p>
        </w:tc>
      </w:tr>
      <w:tr>
        <w:trPr/>
        <w:tc>
          <w:tcPr>
            <w:tcW w:w="1304"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lineRule="auto" w:line="276"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Board Rapporteur</w:t>
            </w:r>
          </w:p>
        </w:tc>
        <w:tc>
          <w:tcPr>
            <w:tcW w:w="8467" w:type="dxa"/>
            <w:tcBorders/>
          </w:tcPr>
          <w:p>
            <w:pPr>
              <w:pStyle w:val="Normal"/>
              <w:widowControl/>
              <w:suppressAutoHyphens w:val="false"/>
              <w:overflowPunct w:val="true"/>
              <w:spacing w:lineRule="auto" w:line="276"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One Board member assigned per application; perform high</w:t>
              <w:noBreakHyphen/>
              <w:t>level review against strategic goals, independence and risk; coordinate questions to Secretariat.</w:t>
            </w:r>
          </w:p>
        </w:tc>
      </w:tr>
    </w:tbl>
    <w:p>
      <w:pPr>
        <w:pStyle w:val="BodyText"/>
        <w:rPr>
          <w:rFonts w:ascii="Calibri" w:hAnsi="Calibri" w:cs="Calibri" w:asciiTheme="minorHAnsi" w:cstheme="minorHAnsi" w:hAnsiTheme="minorHAnsi" w:hint="eastAsia"/>
          <w:lang w:eastAsia="de-DE"/>
        </w:rPr>
      </w:pPr>
      <w:r>
        <w:rPr>
          <w:rFonts w:cs="Calibri" w:cstheme="minorHAnsi" w:hint="eastAsia" w:ascii="Calibri" w:hAnsi="Calibri"/>
          <w:lang w:eastAsia="de-DE"/>
        </w:rPr>
      </w:r>
    </w:p>
    <w:p>
      <w:pPr>
        <w:pStyle w:val="Heading1"/>
        <w:rPr>
          <w:rFonts w:ascii="Calibri" w:hAnsi="Calibri" w:cs="Calibri" w:asciiTheme="minorHAnsi" w:cstheme="minorHAnsi" w:hAnsiTheme="minorHAnsi" w:hint="eastAsia"/>
        </w:rPr>
      </w:pPr>
      <w:r>
        <w:rPr>
          <w:rFonts w:cs="Calibri" w:cstheme="minorHAnsi"/>
        </w:rPr>
        <w:t>Procedure</w:t>
      </w:r>
    </w:p>
    <w:p>
      <w:pPr>
        <w:pStyle w:val="BodyText"/>
        <w:numPr>
          <w:ilvl w:val="0"/>
          <w:numId w:val="0"/>
        </w:numPr>
        <w:spacing w:before="0" w:after="119"/>
        <w:jc w:val="start"/>
        <w:outlineLvl w:val="0"/>
        <w:rPr>
          <w:rFonts w:ascii="Calibri" w:hAnsi="Calibri" w:cs="Calibri" w:asciiTheme="minorHAnsi" w:cstheme="minorHAnsi" w:hAnsiTheme="minorHAnsi" w:hint="eastAsia"/>
          <w:sz w:val="24"/>
          <w:szCs w:val="24"/>
        </w:rPr>
      </w:pPr>
      <w:r>
        <w:rPr>
          <w:rFonts w:cs="Calibri" w:ascii="Calibri" w:hAnsi="Calibri" w:asciiTheme="minorHAnsi" w:cstheme="minorHAnsi" w:hAnsiTheme="minorHAnsi"/>
          <w:sz w:val="24"/>
          <w:szCs w:val="24"/>
        </w:rPr>
        <w:t>The process of endorsing MCP identity service providers consists of the following steps:</w:t>
      </w:r>
    </w:p>
    <w:tbl>
      <w:tblPr>
        <w:tblStyle w:val="GridTable4-Accent5"/>
        <w:tblW w:w="9771" w:type="dxa"/>
        <w:jc w:val="start"/>
        <w:tblInd w:w="0" w:type="dxa"/>
        <w:tblLayout w:type="fixed"/>
        <w:tblCellMar>
          <w:top w:w="0" w:type="dxa"/>
          <w:start w:w="108" w:type="dxa"/>
          <w:bottom w:w="0" w:type="dxa"/>
          <w:end w:w="108" w:type="dxa"/>
        </w:tblCellMar>
        <w:tblLook w:val="04a0" w:noVBand="1" w:noHBand="0" w:lastColumn="0" w:firstColumn="1" w:lastRow="0" w:firstRow="1"/>
      </w:tblPr>
      <w:tblGrid>
        <w:gridCol w:w="663"/>
        <w:gridCol w:w="1369"/>
        <w:gridCol w:w="5633"/>
        <w:gridCol w:w="2106"/>
      </w:tblGrid>
      <w:tr>
        <w:trPr>
          <w:cnfStyle w:val="100000000000" w:firstRow="1" w:lastRow="0" w:firstColumn="0" w:lastColumn="0" w:oddVBand="0" w:evenVBand="0" w:oddHBand="0" w:evenHBand="0" w:firstRowFirstColumn="0" w:firstRowLastColumn="0" w:lastRowFirstColumn="0" w:lastRowLastColumn="0"/>
        </w:trPr>
        <w:tc>
          <w:tcPr>
            <w:tcW w:w="663" w:type="dxa"/>
            <w:cnfStyle w:val="001000000000" w:firstRow="0" w:lastRow="0" w:firstColumn="1" w:lastColumn="0" w:oddVBand="0" w:evenVBand="0" w:oddHBand="0" w:evenHBand="0" w:firstRowFirstColumn="0" w:firstRowLastColumn="0" w:lastRowFirstColumn="0" w:lastRowLastColumn="0"/>
            <w:tcBorders>
              <w:top w:val="single" w:sz="4" w:space="0" w:color="5B9BD5"/>
              <w:start w:val="single" w:sz="4" w:space="0" w:color="5B9BD5"/>
              <w:bottom w:val="single" w:sz="4" w:space="0" w:color="5B9BD5"/>
              <w:end w:val="single" w:sz="4" w:space="0" w:color="5B9BD5"/>
            </w:tcBorders>
            <w:shd w:color="auto" w:fill="5B9BD5" w:themeFill="accent5" w:val="clear"/>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color w:themeColor="background1" w:val="FFFFFF"/>
                <w:kern w:val="0"/>
                <w:sz w:val="24"/>
                <w:szCs w:val="24"/>
                <w:lang w:val="en-AU" w:eastAsia="en-AU" w:bidi="ar-SA"/>
              </w:rPr>
              <w:t>Step</w:t>
            </w:r>
          </w:p>
        </w:tc>
        <w:tc>
          <w:tcPr>
            <w:tcW w:w="1369" w:type="dxa"/>
            <w:tcBorders>
              <w:top w:val="single" w:sz="4" w:space="0" w:color="5B9BD5"/>
              <w:start w:val="single" w:sz="4" w:space="0" w:color="5B9BD5"/>
              <w:bottom w:val="single" w:sz="4" w:space="0" w:color="5B9BD5"/>
              <w:end w:val="single" w:sz="4" w:space="0" w:color="5B9BD5"/>
            </w:tcBorders>
            <w:shd w:color="auto" w:fill="5B9BD5" w:themeFill="accent5" w:val="clear"/>
          </w:tcPr>
          <w:p>
            <w:pPr>
              <w:pStyle w:val="Normal"/>
              <w:widowControl/>
              <w:suppressAutoHyphens w:val="false"/>
              <w:overflowPunct w:val="true"/>
              <w:spacing w:before="0" w:after="0"/>
              <w:jc w:val="star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color w:themeColor="background1" w:val="FFFFFF"/>
                <w:kern w:val="0"/>
                <w:sz w:val="24"/>
                <w:szCs w:val="24"/>
                <w:lang w:val="en-AU" w:eastAsia="en-AU" w:bidi="ar-SA"/>
              </w:rPr>
              <w:t>Actor</w:t>
            </w:r>
          </w:p>
        </w:tc>
        <w:tc>
          <w:tcPr>
            <w:tcW w:w="5633" w:type="dxa"/>
            <w:tcBorders>
              <w:top w:val="single" w:sz="4" w:space="0" w:color="5B9BD5"/>
              <w:start w:val="single" w:sz="4" w:space="0" w:color="5B9BD5"/>
              <w:bottom w:val="single" w:sz="4" w:space="0" w:color="5B9BD5"/>
              <w:end w:val="single" w:sz="4" w:space="0" w:color="5B9BD5"/>
            </w:tcBorders>
            <w:shd w:color="auto" w:fill="5B9BD5" w:themeFill="accent5" w:val="clear"/>
          </w:tcPr>
          <w:p>
            <w:pPr>
              <w:pStyle w:val="Normal"/>
              <w:widowControl/>
              <w:suppressAutoHyphens w:val="false"/>
              <w:overflowPunct w:val="true"/>
              <w:spacing w:before="0" w:after="0"/>
              <w:jc w:val="star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color w:themeColor="background1" w:val="FFFFFF"/>
                <w:kern w:val="0"/>
                <w:sz w:val="24"/>
                <w:szCs w:val="24"/>
                <w:lang w:val="en-AU" w:eastAsia="en-AU" w:bidi="ar-SA"/>
              </w:rPr>
              <w:t>Action</w:t>
            </w:r>
          </w:p>
        </w:tc>
        <w:tc>
          <w:tcPr>
            <w:tcW w:w="2106" w:type="dxa"/>
            <w:tcBorders>
              <w:top w:val="single" w:sz="4" w:space="0" w:color="5B9BD5"/>
              <w:start w:val="single" w:sz="4" w:space="0" w:color="5B9BD5"/>
              <w:bottom w:val="single" w:sz="4" w:space="0" w:color="5B9BD5"/>
              <w:end w:val="single" w:sz="4" w:space="0" w:color="5B9BD5"/>
            </w:tcBorders>
            <w:shd w:color="auto" w:fill="5B9BD5" w:themeFill="accent5" w:val="clear"/>
          </w:tcPr>
          <w:p>
            <w:pPr>
              <w:pStyle w:val="Normal"/>
              <w:widowControl/>
              <w:suppressAutoHyphens w:val="false"/>
              <w:overflowPunct w:val="true"/>
              <w:spacing w:before="0" w:after="0"/>
              <w:jc w:val="start"/>
              <w:cnfStyle w:val="100000000000" w:firstRow="1"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color w:themeColor="background1" w:val="FFFFFF"/>
                <w:kern w:val="0"/>
                <w:sz w:val="24"/>
                <w:szCs w:val="24"/>
                <w:lang w:val="en-AU" w:eastAsia="en-AU" w:bidi="ar-SA"/>
              </w:rPr>
              <w:t>Output / Decision</w:t>
            </w:r>
          </w:p>
        </w:tc>
      </w:tr>
      <w:tr>
        <w:trPr>
          <w:cnfStyle w:val="000000100000" w:firstRow="0" w:lastRow="0" w:firstColumn="0" w:lastColumn="0" w:oddVBand="0" w:evenVBand="0" w:oddHBand="1" w:evenHBand="0" w:firstRowFirstColumn="0" w:firstRowLastColumn="0" w:lastRowFirstColumn="0" w:lastRowLastColumn="0"/>
        </w:trPr>
        <w:tc>
          <w:tcPr>
            <w:tcW w:w="663"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0</w:t>
            </w:r>
          </w:p>
        </w:tc>
        <w:tc>
          <w:tcPr>
            <w:tcW w:w="1369"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w:t>
            </w:r>
          </w:p>
        </w:tc>
        <w:tc>
          <w:tcPr>
            <w:tcW w:w="5633"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Optional pre</w:t>
              <w:noBreakHyphen/>
              <w:t>application meeting to explain requirements.</w:t>
            </w:r>
          </w:p>
        </w:tc>
        <w:tc>
          <w:tcPr>
            <w:tcW w:w="2106"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w:t>
            </w:r>
          </w:p>
        </w:tc>
      </w:tr>
      <w:tr>
        <w:trPr/>
        <w:tc>
          <w:tcPr>
            <w:tcW w:w="663"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1</w:t>
            </w:r>
          </w:p>
        </w:tc>
        <w:tc>
          <w:tcPr>
            <w:tcW w:w="1369"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Applicant → Secretariat</w:t>
            </w:r>
          </w:p>
        </w:tc>
        <w:tc>
          <w:tcPr>
            <w:tcW w:w="5633"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Submit application form plus artefacts listed in Annex A.</w:t>
            </w:r>
          </w:p>
        </w:tc>
        <w:tc>
          <w:tcPr>
            <w:tcW w:w="2106"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Application package</w:t>
            </w:r>
          </w:p>
        </w:tc>
      </w:tr>
      <w:tr>
        <w:trPr>
          <w:cnfStyle w:val="000000100000" w:firstRow="0" w:lastRow="0" w:firstColumn="0" w:lastColumn="0" w:oddVBand="0" w:evenVBand="0" w:oddHBand="1" w:evenHBand="0" w:firstRowFirstColumn="0" w:firstRowLastColumn="0" w:lastRowFirstColumn="0" w:lastRowLastColumn="0"/>
        </w:trPr>
        <w:tc>
          <w:tcPr>
            <w:tcW w:w="663"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2</w:t>
            </w:r>
          </w:p>
        </w:tc>
        <w:tc>
          <w:tcPr>
            <w:tcW w:w="1369"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w:t>
            </w:r>
          </w:p>
        </w:tc>
        <w:tc>
          <w:tcPr>
            <w:tcW w:w="5633"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Completeness check within 5 working days.</w:t>
            </w:r>
          </w:p>
        </w:tc>
        <w:tc>
          <w:tcPr>
            <w:tcW w:w="2106"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Application package accepted/rejected (incomplete)</w:t>
            </w:r>
          </w:p>
        </w:tc>
      </w:tr>
      <w:tr>
        <w:trPr/>
        <w:tc>
          <w:tcPr>
            <w:tcW w:w="663"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3</w:t>
            </w:r>
          </w:p>
        </w:tc>
        <w:tc>
          <w:tcPr>
            <w:tcW w:w="1369"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 → Board Chair</w:t>
            </w:r>
          </w:p>
        </w:tc>
        <w:tc>
          <w:tcPr>
            <w:tcW w:w="5633"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Forward application package and request nomination of one rapporteur.</w:t>
            </w:r>
          </w:p>
        </w:tc>
        <w:tc>
          <w:tcPr>
            <w:tcW w:w="2106"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w:t>
            </w:r>
          </w:p>
        </w:tc>
      </w:tr>
      <w:tr>
        <w:trPr>
          <w:cnfStyle w:val="000000100000" w:firstRow="0" w:lastRow="0" w:firstColumn="0" w:lastColumn="0" w:oddVBand="0" w:evenVBand="0" w:oddHBand="1" w:evenHBand="0" w:firstRowFirstColumn="0" w:firstRowLastColumn="0" w:lastRowFirstColumn="0" w:lastRowLastColumn="0"/>
        </w:trPr>
        <w:tc>
          <w:tcPr>
            <w:tcW w:w="663"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4</w:t>
            </w:r>
          </w:p>
        </w:tc>
        <w:tc>
          <w:tcPr>
            <w:tcW w:w="1369"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Board Chair</w:t>
            </w:r>
          </w:p>
        </w:tc>
        <w:tc>
          <w:tcPr>
            <w:tcW w:w="5633"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Appoint rapporteur within 3 working days.</w:t>
            </w:r>
          </w:p>
        </w:tc>
        <w:tc>
          <w:tcPr>
            <w:tcW w:w="2106"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Rapporteur confirmed</w:t>
            </w:r>
          </w:p>
        </w:tc>
      </w:tr>
      <w:tr>
        <w:trPr/>
        <w:tc>
          <w:tcPr>
            <w:tcW w:w="663"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5</w:t>
            </w:r>
          </w:p>
        </w:tc>
        <w:tc>
          <w:tcPr>
            <w:tcW w:w="1369"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Rapporteur</w:t>
            </w:r>
          </w:p>
        </w:tc>
        <w:tc>
          <w:tcPr>
            <w:tcW w:w="5633"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Strategic &amp; governance review using Board Checklist (Annex B). May request clarifications via Secretariat.</w:t>
            </w:r>
          </w:p>
        </w:tc>
        <w:tc>
          <w:tcPr>
            <w:tcW w:w="2106"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 xml:space="preserve">Preliminary recommendation </w:t>
            </w:r>
          </w:p>
        </w:tc>
      </w:tr>
      <w:tr>
        <w:trPr>
          <w:cnfStyle w:val="000000100000" w:firstRow="0" w:lastRow="0" w:firstColumn="0" w:lastColumn="0" w:oddVBand="0" w:evenVBand="0" w:oddHBand="1" w:evenHBand="0" w:firstRowFirstColumn="0" w:firstRowLastColumn="0" w:lastRowFirstColumn="0" w:lastRowLastColumn="0"/>
        </w:trPr>
        <w:tc>
          <w:tcPr>
            <w:tcW w:w="663"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6</w:t>
            </w:r>
          </w:p>
        </w:tc>
        <w:tc>
          <w:tcPr>
            <w:tcW w:w="1369"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w:t>
            </w:r>
          </w:p>
        </w:tc>
        <w:tc>
          <w:tcPr>
            <w:tcW w:w="5633"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Technical &amp; operational assessment (Annex C). Produce detailed report and compliance matrix.</w:t>
            </w:r>
          </w:p>
        </w:tc>
        <w:tc>
          <w:tcPr>
            <w:tcW w:w="2106"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Assessment report</w:t>
            </w:r>
          </w:p>
        </w:tc>
      </w:tr>
      <w:tr>
        <w:trPr/>
        <w:tc>
          <w:tcPr>
            <w:tcW w:w="663"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7</w:t>
            </w:r>
          </w:p>
        </w:tc>
        <w:tc>
          <w:tcPr>
            <w:tcW w:w="1369"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 → Board</w:t>
            </w:r>
          </w:p>
        </w:tc>
        <w:tc>
          <w:tcPr>
            <w:tcW w:w="5633"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Circulate assessment report and all artefacts at least 14 days before the decision meeting.</w:t>
            </w:r>
          </w:p>
        </w:tc>
        <w:tc>
          <w:tcPr>
            <w:tcW w:w="2106"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w:t>
            </w:r>
          </w:p>
        </w:tc>
      </w:tr>
      <w:tr>
        <w:trPr>
          <w:cnfStyle w:val="000000100000" w:firstRow="0" w:lastRow="0" w:firstColumn="0" w:lastColumn="0" w:oddVBand="0" w:evenVBand="0" w:oddHBand="1" w:evenHBand="0" w:firstRowFirstColumn="0" w:firstRowLastColumn="0" w:lastRowFirstColumn="0" w:lastRowLastColumn="0"/>
        </w:trPr>
        <w:tc>
          <w:tcPr>
            <w:tcW w:w="663"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8</w:t>
            </w:r>
          </w:p>
        </w:tc>
        <w:tc>
          <w:tcPr>
            <w:tcW w:w="1369"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Board</w:t>
            </w:r>
          </w:p>
        </w:tc>
        <w:tc>
          <w:tcPr>
            <w:tcW w:w="5633"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Style w:val="normaltextrun"/>
                <w:rFonts w:eastAsia="Batang" w:hint="cs" w:ascii="Calibri" w:hAnsi="Calibri"/>
                <w:color w:val="000000"/>
                <w:kern w:val="0"/>
                <w:sz w:val="24"/>
                <w:szCs w:val="24"/>
                <w:shd w:fill="FFFFFF" w:val="clear"/>
                <w:lang w:val="en-GB" w:eastAsia="en-GB" w:bidi="ar-SA"/>
              </w:rPr>
              <w:t>Rapporteur presents their preliminary recommendation and outcome of the assessment (step 6).</w:t>
            </w:r>
            <w:r>
              <w:rPr>
                <w:rStyle w:val="normaltextrun"/>
                <w:rFonts w:eastAsia="Batang" w:ascii="Calibri" w:hAnsi="Calibri"/>
                <w:color w:val="000000"/>
                <w:kern w:val="0"/>
                <w:sz w:val="24"/>
                <w:szCs w:val="24"/>
                <w:shd w:fill="FFFFFF" w:val="clear"/>
                <w:lang w:val="en-GB" w:eastAsia="en-GB" w:bidi="ar-SA"/>
              </w:rPr>
              <w:t xml:space="preserve"> </w:t>
            </w:r>
            <w:r>
              <w:rPr>
                <w:rFonts w:eastAsia="Times New Roman" w:cs="Calibri" w:ascii="Calibri" w:hAnsi="Calibri" w:asciiTheme="minorHAnsi" w:cstheme="minorHAnsi" w:hAnsiTheme="minorHAnsi"/>
                <w:kern w:val="0"/>
                <w:sz w:val="24"/>
                <w:szCs w:val="24"/>
                <w:lang w:val="en-AU" w:eastAsia="en-AU" w:bidi="ar-SA"/>
              </w:rPr>
              <w:t xml:space="preserve">Discuss and vote. Decision requires simple majority. Possible outcomes: </w:t>
            </w:r>
            <w:r>
              <w:rPr>
                <w:rFonts w:eastAsia="Times New Roman" w:cs="Calibri" w:ascii="Calibri" w:hAnsi="Calibri" w:asciiTheme="minorHAnsi" w:cstheme="minorHAnsi" w:hAnsiTheme="minorHAnsi"/>
                <w:i/>
                <w:iCs/>
                <w:kern w:val="0"/>
                <w:sz w:val="24"/>
                <w:szCs w:val="24"/>
                <w:lang w:val="en-AU" w:eastAsia="en-AU" w:bidi="ar-SA"/>
              </w:rPr>
              <w:t>Approve</w:t>
            </w:r>
            <w:r>
              <w:rPr>
                <w:rFonts w:eastAsia="Times New Roman" w:cs="Calibri" w:ascii="Calibri" w:hAnsi="Calibri" w:asciiTheme="minorHAnsi" w:cstheme="minorHAnsi" w:hAnsiTheme="minorHAnsi"/>
                <w:kern w:val="0"/>
                <w:sz w:val="24"/>
                <w:szCs w:val="24"/>
                <w:lang w:val="en-AU" w:eastAsia="en-AU" w:bidi="ar-SA"/>
              </w:rPr>
              <w:t xml:space="preserve">, </w:t>
            </w:r>
            <w:r>
              <w:rPr>
                <w:rFonts w:eastAsia="Times New Roman" w:cs="Calibri" w:ascii="Calibri" w:hAnsi="Calibri" w:asciiTheme="minorHAnsi" w:cstheme="minorHAnsi" w:hAnsiTheme="minorHAnsi"/>
                <w:i/>
                <w:iCs/>
                <w:kern w:val="0"/>
                <w:sz w:val="24"/>
                <w:szCs w:val="24"/>
                <w:lang w:val="en-AU" w:eastAsia="en-AU" w:bidi="ar-SA"/>
              </w:rPr>
              <w:t>Reject</w:t>
            </w:r>
            <w:r>
              <w:rPr>
                <w:rFonts w:eastAsia="Times New Roman" w:cs="Calibri" w:ascii="Calibri" w:hAnsi="Calibri" w:asciiTheme="minorHAnsi" w:cstheme="minorHAnsi" w:hAnsiTheme="minorHAnsi"/>
                <w:kern w:val="0"/>
                <w:sz w:val="24"/>
                <w:szCs w:val="24"/>
                <w:lang w:val="en-AU" w:eastAsia="en-AU" w:bidi="ar-SA"/>
              </w:rPr>
              <w:t>.</w:t>
            </w:r>
          </w:p>
        </w:tc>
        <w:tc>
          <w:tcPr>
            <w:tcW w:w="2106"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Board resolution</w:t>
            </w:r>
          </w:p>
        </w:tc>
      </w:tr>
      <w:tr>
        <w:trPr/>
        <w:tc>
          <w:tcPr>
            <w:tcW w:w="663"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9</w:t>
            </w:r>
          </w:p>
        </w:tc>
        <w:tc>
          <w:tcPr>
            <w:tcW w:w="1369"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w:t>
            </w:r>
          </w:p>
        </w:tc>
        <w:tc>
          <w:tcPr>
            <w:tcW w:w="5633"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Notify applicant of decision within 3 working days.</w:t>
            </w:r>
          </w:p>
        </w:tc>
        <w:tc>
          <w:tcPr>
            <w:tcW w:w="2106"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Notification letter</w:t>
            </w:r>
          </w:p>
        </w:tc>
      </w:tr>
      <w:tr>
        <w:trPr>
          <w:cnfStyle w:val="000000100000" w:firstRow="0" w:lastRow="0" w:firstColumn="0" w:lastColumn="0" w:oddVBand="0" w:evenVBand="0" w:oddHBand="1" w:evenHBand="0" w:firstRowFirstColumn="0" w:firstRowLastColumn="0" w:lastRowFirstColumn="0" w:lastRowLastColumn="0"/>
        </w:trPr>
        <w:tc>
          <w:tcPr>
            <w:tcW w:w="663"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10</w:t>
            </w:r>
          </w:p>
        </w:tc>
        <w:tc>
          <w:tcPr>
            <w:tcW w:w="1369"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w:t>
            </w:r>
          </w:p>
        </w:tc>
        <w:tc>
          <w:tcPr>
            <w:tcW w:w="5633"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 xml:space="preserve">If approved, </w:t>
            </w:r>
            <w:r>
              <w:rPr>
                <w:rFonts w:eastAsia="Times New Roman" w:cs="Calibri" w:ascii="Calibri" w:hAnsi="Calibri" w:asciiTheme="minorHAnsi" w:cstheme="minorHAnsi" w:hAnsiTheme="minorHAnsi"/>
                <w:b/>
                <w:bCs/>
                <w:kern w:val="0"/>
                <w:sz w:val="24"/>
                <w:szCs w:val="24"/>
                <w:lang w:val="en-AU" w:eastAsia="en-AU" w:bidi="ar-SA"/>
              </w:rPr>
              <w:t>issue MRN domain(s)</w:t>
            </w:r>
            <w:r>
              <w:rPr>
                <w:rFonts w:eastAsia="Times New Roman" w:cs="Calibri" w:ascii="Calibri" w:hAnsi="Calibri" w:asciiTheme="minorHAnsi" w:cstheme="minorHAnsi" w:hAnsiTheme="minorHAnsi"/>
                <w:kern w:val="0"/>
                <w:sz w:val="24"/>
                <w:szCs w:val="24"/>
                <w:lang w:val="en-AU" w:eastAsia="en-AU" w:bidi="ar-SA"/>
              </w:rPr>
              <w:t>, publish root certificate in trusted list, update website and repository.</w:t>
            </w:r>
          </w:p>
        </w:tc>
        <w:tc>
          <w:tcPr>
            <w:tcW w:w="2106" w:type="dxa"/>
            <w:tcBorders/>
            <w:shd w:color="auto" w:fill="DEEAF6" w:themeFill="accent5" w:themeFillTint="33" w:val="clear"/>
          </w:tcPr>
          <w:p>
            <w:pPr>
              <w:pStyle w:val="Normal"/>
              <w:widowControl/>
              <w:suppressAutoHyphens w:val="false"/>
              <w:overflowPunct w:val="true"/>
              <w:spacing w:before="0" w:after="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Publication completed</w:t>
            </w:r>
          </w:p>
        </w:tc>
      </w:tr>
      <w:tr>
        <w:trPr/>
        <w:tc>
          <w:tcPr>
            <w:tcW w:w="663"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false"/>
              <w:overflowPunct w:val="true"/>
              <w:spacing w:before="0" w:after="0"/>
              <w:jc w:val="start"/>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b/>
                <w:bCs/>
                <w:kern w:val="0"/>
                <w:sz w:val="24"/>
                <w:szCs w:val="24"/>
                <w:lang w:val="en-AU" w:eastAsia="en-AU" w:bidi="ar-SA"/>
              </w:rPr>
              <w:t>11</w:t>
            </w:r>
          </w:p>
        </w:tc>
        <w:tc>
          <w:tcPr>
            <w:tcW w:w="1369"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Secretariat</w:t>
            </w:r>
          </w:p>
        </w:tc>
        <w:tc>
          <w:tcPr>
            <w:tcW w:w="5633"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Archive dossier and set renewal reminder (12 months minus 30 days).</w:t>
            </w:r>
          </w:p>
        </w:tc>
        <w:tc>
          <w:tcPr>
            <w:tcW w:w="2106" w:type="dxa"/>
            <w:tcBorders/>
          </w:tcPr>
          <w:p>
            <w:pPr>
              <w:pStyle w:val="Normal"/>
              <w:widowControl/>
              <w:suppressAutoHyphens w:val="false"/>
              <w:overflowPunct w:val="true"/>
              <w:spacing w:before="0" w:after="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 w:val="24"/>
                <w:szCs w:val="24"/>
                <w:lang w:val="en-AU" w:eastAsia="en-AU"/>
              </w:rPr>
            </w:pPr>
            <w:r>
              <w:rPr>
                <w:rFonts w:eastAsia="Times New Roman" w:cs="Calibri" w:ascii="Calibri" w:hAnsi="Calibri" w:asciiTheme="minorHAnsi" w:cstheme="minorHAnsi" w:hAnsiTheme="minorHAnsi"/>
                <w:kern w:val="0"/>
                <w:sz w:val="24"/>
                <w:szCs w:val="24"/>
                <w:lang w:val="en-AU" w:eastAsia="en-AU" w:bidi="ar-SA"/>
              </w:rPr>
              <w:t>Renewal task scheduled</w:t>
            </w:r>
          </w:p>
        </w:tc>
      </w:tr>
    </w:tbl>
    <w:p>
      <w:pPr>
        <w:pStyle w:val="BodyText"/>
        <w:rPr>
          <w:rFonts w:hint="eastAsia"/>
          <w:lang w:eastAsia="de-DE"/>
        </w:rPr>
      </w:pPr>
      <w:r>
        <w:rPr>
          <w:rFonts w:hint="eastAsia"/>
          <w:lang w:eastAsia="de-DE"/>
        </w:rPr>
      </w:r>
    </w:p>
    <w:p>
      <w:pPr>
        <w:pStyle w:val="Heading1"/>
        <w:rPr>
          <w:rFonts w:ascii="Calibri" w:hAnsi="Calibri" w:cs="Calibri" w:asciiTheme="minorHAnsi" w:cstheme="minorHAnsi" w:hAnsiTheme="minorHAnsi" w:hint="eastAsia"/>
        </w:rPr>
      </w:pPr>
      <w:r>
        <w:rPr>
          <w:rFonts w:cs="Calibri" w:cstheme="minorHAnsi"/>
        </w:rPr>
        <w:t>Recurrence And Changes after Endorsement</w:t>
      </w:r>
    </w:p>
    <w:p>
      <w:pPr>
        <w:pStyle w:val="BodyText"/>
        <w:numPr>
          <w:ilvl w:val="0"/>
          <w:numId w:val="0"/>
        </w:numPr>
        <w:spacing w:before="0" w:after="119"/>
        <w:outlineLvl w:val="0"/>
        <w:rPr>
          <w:rFonts w:ascii="Calibri" w:hAnsi="Calibri" w:cs="Calibri" w:asciiTheme="minorHAnsi" w:cstheme="minorHAnsi" w:hAnsiTheme="minorHAnsi" w:hint="eastAsia"/>
          <w:sz w:val="24"/>
          <w:szCs w:val="24"/>
        </w:rPr>
      </w:pPr>
      <w:r>
        <w:rPr>
          <w:rFonts w:cs="Calibri" w:ascii="Calibri" w:hAnsi="Calibri" w:asciiTheme="minorHAnsi" w:cstheme="minorHAnsi" w:hAnsiTheme="minorHAnsi"/>
          <w:sz w:val="24"/>
          <w:szCs w:val="24"/>
        </w:rPr>
        <w:t>Endorsement of an MCP identity service provider remains valid for a period of 12 months from the date of Board approval. To maintain continuity, the Secretariat must initiate a renewal review prior to expiry. This review consists of repeating the technical and operational assessment outlined in Appendix C.</w:t>
      </w:r>
    </w:p>
    <w:p>
      <w:pPr>
        <w:pStyle w:val="BodyText"/>
        <w:numPr>
          <w:ilvl w:val="0"/>
          <w:numId w:val="0"/>
        </w:numPr>
        <w:spacing w:before="0" w:after="119"/>
        <w:outlineLvl w:val="0"/>
        <w:rPr>
          <w:rFonts w:ascii="Calibri" w:hAnsi="Calibri" w:cs="Calibri" w:asciiTheme="minorHAnsi" w:cstheme="minorHAnsi" w:hAnsiTheme="minorHAnsi" w:hint="eastAsia"/>
          <w:sz w:val="24"/>
          <w:szCs w:val="24"/>
        </w:rPr>
      </w:pPr>
      <w:r>
        <w:rPr>
          <w:rFonts w:cs="Calibri" w:ascii="Calibri" w:hAnsi="Calibri" w:asciiTheme="minorHAnsi" w:cstheme="minorHAnsi" w:hAnsiTheme="minorHAnsi"/>
          <w:sz w:val="24"/>
          <w:szCs w:val="24"/>
        </w:rPr>
        <w:t>If the reassessment identifies no material deviations or concerns, the endorsement is automatically renewed for another 12</w:t>
      </w:r>
      <w:r>
        <w:rPr>
          <w:rFonts w:cs="Cambria Math" w:ascii="Cambria Math" w:hAnsi="Cambria Math"/>
          <w:sz w:val="24"/>
          <w:szCs w:val="24"/>
        </w:rPr>
        <w:noBreakHyphen/>
      </w:r>
      <w:r>
        <w:rPr>
          <w:rFonts w:cs="Calibri" w:ascii="Calibri" w:hAnsi="Calibri" w:asciiTheme="minorHAnsi" w:cstheme="minorHAnsi" w:hAnsiTheme="minorHAnsi"/>
          <w:sz w:val="24"/>
          <w:szCs w:val="24"/>
        </w:rPr>
        <w:t>month term without requiring additional Board action.</w:t>
      </w:r>
    </w:p>
    <w:p>
      <w:pPr>
        <w:pStyle w:val="BodyText"/>
        <w:numPr>
          <w:ilvl w:val="0"/>
          <w:numId w:val="0"/>
        </w:numPr>
        <w:spacing w:before="0" w:after="119"/>
        <w:outlineLvl w:val="0"/>
        <w:rPr>
          <w:rFonts w:ascii="Calibri" w:hAnsi="Calibri" w:cs="Calibri" w:asciiTheme="minorHAnsi" w:cstheme="minorHAnsi" w:hAnsiTheme="minorHAnsi" w:hint="eastAsia"/>
          <w:sz w:val="24"/>
          <w:szCs w:val="24"/>
        </w:rPr>
      </w:pPr>
      <w:r>
        <w:rPr>
          <w:rFonts w:cs="Calibri" w:ascii="Calibri" w:hAnsi="Calibri" w:asciiTheme="minorHAnsi" w:cstheme="minorHAnsi" w:hAnsiTheme="minorHAnsi"/>
          <w:sz w:val="24"/>
          <w:szCs w:val="24"/>
        </w:rPr>
        <w:t>However, if the Secretariat identifies any material deviation from the original approval criteria, including procedural changes, technical non</w:t>
      </w:r>
      <w:r>
        <w:rPr>
          <w:rFonts w:cs="Cambria Math" w:ascii="Cambria Math" w:hAnsi="Cambria Math"/>
          <w:sz w:val="24"/>
          <w:szCs w:val="24"/>
        </w:rPr>
        <w:noBreakHyphen/>
      </w:r>
      <w:r>
        <w:rPr>
          <w:rFonts w:cs="Calibri" w:ascii="Calibri" w:hAnsi="Calibri" w:asciiTheme="minorHAnsi" w:cstheme="minorHAnsi" w:hAnsiTheme="minorHAnsi"/>
          <w:sz w:val="24"/>
          <w:szCs w:val="24"/>
        </w:rPr>
        <w:t>compliance, or security concerns, a report will be escalated to the Board. The Board must then decide whether to suspend, revoke, or grant a waiver for continued endorsement.</w:t>
      </w:r>
    </w:p>
    <w:p>
      <w:pPr>
        <w:pStyle w:val="BodyText"/>
        <w:numPr>
          <w:ilvl w:val="0"/>
          <w:numId w:val="0"/>
        </w:numPr>
        <w:spacing w:before="0" w:after="119"/>
        <w:outlineLvl w:val="0"/>
        <w:rPr>
          <w:rFonts w:ascii="Calibri" w:hAnsi="Calibri" w:cs="Calibri" w:asciiTheme="minorHAnsi" w:cstheme="minorHAnsi" w:hAnsiTheme="minorHAnsi" w:hint="eastAsia"/>
          <w:sz w:val="24"/>
          <w:szCs w:val="24"/>
        </w:rPr>
      </w:pPr>
      <w:r>
        <w:rPr>
          <w:rFonts w:cs="Calibri" w:ascii="Calibri" w:hAnsi="Calibri" w:asciiTheme="minorHAnsi" w:cstheme="minorHAnsi" w:hAnsiTheme="minorHAnsi"/>
          <w:sz w:val="24"/>
          <w:szCs w:val="24"/>
        </w:rPr>
        <w:t>In the event of suspension or revocation, the change in status will be published immediately to ensure transparency and the integrity of trust.</w:t>
      </w:r>
    </w:p>
    <w:p>
      <w:pPr>
        <w:pStyle w:val="BodyText"/>
        <w:numPr>
          <w:ilvl w:val="0"/>
          <w:numId w:val="0"/>
        </w:numPr>
        <w:spacing w:before="0" w:after="119"/>
        <w:outlineLvl w:val="0"/>
        <w:rPr>
          <w:rFonts w:ascii="Calibri" w:hAnsi="Calibri" w:cs="Calibri" w:asciiTheme="minorHAnsi" w:cstheme="minorHAnsi" w:hAnsiTheme="minorHAnsi" w:hint="eastAsia"/>
          <w:sz w:val="24"/>
          <w:szCs w:val="24"/>
        </w:rPr>
      </w:pPr>
      <w:r>
        <w:rPr>
          <w:rFonts w:cs="Calibri" w:ascii="Calibri" w:hAnsi="Calibri" w:asciiTheme="minorHAnsi" w:cstheme="minorHAnsi" w:hAnsiTheme="minorHAnsi"/>
          <w:sz w:val="24"/>
          <w:szCs w:val="24"/>
        </w:rPr>
        <w:t>Additionally, a re</w:t>
      </w:r>
      <w:r>
        <w:rPr>
          <w:rFonts w:cs="Cambria Math" w:ascii="Cambria Math" w:hAnsi="Cambria Math"/>
          <w:sz w:val="24"/>
          <w:szCs w:val="24"/>
        </w:rPr>
        <w:noBreakHyphen/>
      </w:r>
      <w:r>
        <w:rPr>
          <w:rFonts w:cs="Calibri" w:ascii="Calibri" w:hAnsi="Calibri" w:asciiTheme="minorHAnsi" w:cstheme="minorHAnsi" w:hAnsiTheme="minorHAnsi"/>
          <w:sz w:val="24"/>
          <w:szCs w:val="24"/>
        </w:rPr>
        <w:t>assessment of any endorsed MCP identity service provider may be triggered at any time if the board decides on such action. In that case, the procedures outlined in this document apply accordingly. MCP identity service providers must also notify the Secretariat of any significant changes, such as updates to their CP/CPS or key rollover. The Secretariat will conduct an impact assessment and escalate the matter to the Board if necessary.</w:t>
      </w:r>
    </w:p>
    <w:p>
      <w:pPr>
        <w:pStyle w:val="Annex"/>
        <w:ind w:hanging="0" w:start="0"/>
        <w:rPr>
          <w:rFonts w:ascii="Calibri" w:hAnsi="Calibri" w:cs="Calibri" w:asciiTheme="minorHAnsi" w:cstheme="minorHAnsi" w:hAnsiTheme="minorHAnsi" w:hint="eastAsia"/>
        </w:rPr>
      </w:pPr>
      <w:r>
        <w:rPr>
          <w:rFonts w:cs="Calibri" w:cstheme="minorHAnsi" w:hint="eastAsia"/>
        </w:rPr>
      </w:r>
      <w:r>
        <w:br w:type="page"/>
      </w:r>
    </w:p>
    <w:p>
      <w:pPr>
        <w:pStyle w:val="Annex"/>
        <w:spacing w:before="0" w:after="480"/>
        <w:ind w:hanging="0" w:start="0"/>
        <w:rPr>
          <w:rFonts w:cs="Calibri" w:cstheme="minorHAnsi" w:hint="eastAsia"/>
        </w:rPr>
      </w:pPr>
      <w:r>
        <w:rPr>
          <w:rFonts w:cs="Calibri" w:cstheme="minorHAnsi"/>
        </w:rPr>
        <w:t>ANNex A – Required Artifacts for Initial Application</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Evidence required to validate the organisation's identity in accordance with MCP Gen 5 vetting.</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The organisation’s written vetting procedure for enrolling organisations in its identity registry.</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A written declaration that the organisation follows applicable data</w:t>
        <w:noBreakHyphen/>
        <w:t>privacy practices (e.g. GDPR).</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Certificate Policy (CP) document.</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Certificate Practice Statement (CPS) document.</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Proposed MCP MRN domain(s) (IPID) for the organisation.</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Root certificate of the organisation’s MCP PKI (PEM format).</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Two example end</w:t>
        <w:noBreakHyphen/>
        <w:t>entity certificates for each MCP entity type, including the full certificate chain – one active and one revoked.</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Endpoints (URLs) for the certificate revocation list (CRL) and for OCSP.</w:t>
      </w:r>
    </w:p>
    <w:p>
      <w:pPr>
        <w:pStyle w:val="Normal"/>
        <w:numPr>
          <w:ilvl w:val="0"/>
          <w:numId w:val="15"/>
        </w:numPr>
        <w:spacing w:before="0" w:after="120"/>
        <w:ind w:hanging="357" w:start="714"/>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URL of the organisation's OIDC Well</w:t>
        <w:noBreakHyphen/>
        <w:t>Known configuration information endpoint.</w:t>
      </w:r>
    </w:p>
    <w:p>
      <w:pPr>
        <w:pStyle w:val="Annex"/>
        <w:ind w:hanging="0" w:start="0"/>
        <w:rPr>
          <w:rFonts w:ascii="Calibri" w:hAnsi="Calibri" w:cs="Calibri" w:asciiTheme="minorHAnsi" w:cstheme="minorHAnsi" w:hAnsiTheme="minorHAnsi" w:hint="eastAsia"/>
          <w:lang w:val="en-AU"/>
        </w:rPr>
      </w:pPr>
      <w:r>
        <w:rPr>
          <w:rFonts w:cs="Calibri" w:cstheme="minorHAnsi"/>
          <w:lang w:val="en-AU"/>
        </w:rPr>
        <w:t>ANNEX B – Board Review Checklist (Rapporteur)</w:t>
      </w:r>
    </w:p>
    <w:p>
      <w:pPr>
        <w:pStyle w:val="Bullet1"/>
        <w:numPr>
          <w:ilvl w:val="0"/>
          <w:numId w:val="17"/>
        </w:numPr>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Alignment with MCP objectives and community needs.</w:t>
      </w:r>
    </w:p>
    <w:p>
      <w:pPr>
        <w:pStyle w:val="Bullet1"/>
        <w:numPr>
          <w:ilvl w:val="0"/>
          <w:numId w:val="17"/>
        </w:numPr>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Independence from existing identity providers (conflict of interest).</w:t>
      </w:r>
    </w:p>
    <w:p>
      <w:pPr>
        <w:pStyle w:val="Bullet1"/>
        <w:numPr>
          <w:ilvl w:val="0"/>
          <w:numId w:val="17"/>
        </w:numPr>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Adequacy of organisational governance.</w:t>
      </w:r>
    </w:p>
    <w:p>
      <w:pPr>
        <w:pStyle w:val="Bullet1"/>
        <w:numPr>
          <w:ilvl w:val="0"/>
          <w:numId w:val="17"/>
        </w:numPr>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Risk profile (e.g., legal, cybersecurity, geopolitical – as appropriate).</w:t>
      </w:r>
    </w:p>
    <w:p>
      <w:pPr>
        <w:pStyle w:val="Bullet1"/>
        <w:numPr>
          <w:ilvl w:val="0"/>
          <w:numId w:val="17"/>
        </w:numPr>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Completeness and clarity of provided documents at policy level.</w:t>
      </w:r>
    </w:p>
    <w:p>
      <w:pPr>
        <w:pStyle w:val="Annex"/>
        <w:ind w:hanging="0" w:start="0"/>
        <w:rPr>
          <w:rFonts w:hint="eastAsia"/>
          <w:lang w:val="en-AU"/>
        </w:rPr>
      </w:pPr>
      <w:r>
        <w:rPr>
          <w:lang w:val="en-AU"/>
        </w:rPr>
        <w:t>ANNEX C – Secretariat Technical &amp; Operational Assessment</w:t>
      </w:r>
    </w:p>
    <w:p>
      <w:pPr>
        <w:pStyle w:val="Normal"/>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The Secretariat must perform the following checks:</w:t>
      </w:r>
    </w:p>
    <w:p>
      <w:pPr>
        <w:pStyle w:val="Normal"/>
        <w:rPr>
          <w:rFonts w:ascii="Calibri" w:hAnsi="Calibri" w:cs="Calibri" w:asciiTheme="minorHAnsi" w:cstheme="minorHAnsi" w:hAnsiTheme="minorHAnsi" w:hint="eastAsia"/>
          <w:sz w:val="24"/>
          <w:szCs w:val="24"/>
          <w:lang w:val="en-AU"/>
        </w:rPr>
      </w:pPr>
      <w:r>
        <w:rPr>
          <w:rFonts w:cs="Calibri" w:cstheme="minorHAnsi" w:hint="eastAsia" w:ascii="Calibri" w:hAnsi="Calibri"/>
          <w:sz w:val="24"/>
          <w:szCs w:val="24"/>
          <w:lang w:val="en-AU"/>
        </w:rPr>
      </w:r>
    </w:p>
    <w:p>
      <w:pPr>
        <w:pStyle w:val="ListParagraph"/>
        <w:numPr>
          <w:ilvl w:val="0"/>
          <w:numId w:val="16"/>
        </w:numPr>
        <w:spacing w:lineRule="auto" w:line="276" w:before="0" w:after="120"/>
        <w:ind w:hanging="357" w:start="714"/>
        <w:contextualSpacing/>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Identity Validation – confirm the organisation’s identity under MCP Gen 5 vetting.</w:t>
      </w:r>
    </w:p>
    <w:p>
      <w:pPr>
        <w:pStyle w:val="ListParagraph"/>
        <w:numPr>
          <w:ilvl w:val="0"/>
          <w:numId w:val="16"/>
        </w:numPr>
        <w:spacing w:lineRule="auto" w:line="276" w:before="0" w:after="120"/>
        <w:ind w:hanging="357" w:start="714"/>
        <w:contextualSpacing/>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Vetting Procedure Review – verify that the submitted vetting procedure meets or exceeds MCP Gen 5.</w:t>
      </w:r>
    </w:p>
    <w:p>
      <w:pPr>
        <w:pStyle w:val="ListParagraph"/>
        <w:numPr>
          <w:ilvl w:val="0"/>
          <w:numId w:val="16"/>
        </w:numPr>
        <w:spacing w:lineRule="auto" w:line="276" w:before="0" w:after="120"/>
        <w:ind w:hanging="357" w:start="714"/>
        <w:contextualSpacing/>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Data</w:t>
      </w:r>
      <w:r>
        <w:rPr>
          <w:rFonts w:cs="Cambria Math" w:ascii="Cambria Math" w:hAnsi="Cambria Math"/>
          <w:sz w:val="24"/>
          <w:szCs w:val="24"/>
          <w:lang w:val="en-AU"/>
        </w:rPr>
        <w:noBreakHyphen/>
      </w:r>
      <w:r>
        <w:rPr>
          <w:rFonts w:cs="Calibri" w:ascii="Calibri" w:hAnsi="Calibri" w:asciiTheme="minorHAnsi" w:cstheme="minorHAnsi" w:hAnsiTheme="minorHAnsi"/>
          <w:sz w:val="24"/>
          <w:szCs w:val="24"/>
          <w:lang w:val="en-AU"/>
        </w:rPr>
        <w:t>Privacy Declaration – verify the presence and adequacy of the GDPR (or equivalent) compliance declaration.</w:t>
      </w:r>
    </w:p>
    <w:p>
      <w:pPr>
        <w:pStyle w:val="ListParagraph"/>
        <w:numPr>
          <w:ilvl w:val="0"/>
          <w:numId w:val="16"/>
        </w:numPr>
        <w:spacing w:lineRule="auto" w:line="276" w:before="0" w:after="120"/>
        <w:ind w:hanging="357" w:start="714"/>
        <w:contextualSpacing/>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CP/CPS Existence Check – ensure the Certificate Policy and Certificate Practice Statement are present and not empty.</w:t>
      </w:r>
    </w:p>
    <w:p>
      <w:pPr>
        <w:pStyle w:val="ListParagraph"/>
        <w:numPr>
          <w:ilvl w:val="0"/>
          <w:numId w:val="16"/>
        </w:numPr>
        <w:spacing w:lineRule="auto" w:line="276" w:before="0" w:after="120"/>
        <w:ind w:hanging="357" w:start="714"/>
        <w:contextualSpacing/>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Certificate Compliance – confirm the two sample certificates for every MCP entity type comply with IALA G1183 Chapter 5 MCP PKI.</w:t>
      </w:r>
    </w:p>
    <w:p>
      <w:pPr>
        <w:pStyle w:val="ListParagraph"/>
        <w:numPr>
          <w:ilvl w:val="0"/>
          <w:numId w:val="16"/>
        </w:numPr>
        <w:spacing w:lineRule="auto" w:line="276" w:before="0" w:after="120"/>
        <w:ind w:hanging="357" w:start="714"/>
        <w:contextualSpacing/>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CRL Freshness &amp; Content – retrieve the CRL from the provided endpoint, confirm it is current and includes the revoked certificates while excluding active ones.</w:t>
      </w:r>
    </w:p>
    <w:p>
      <w:pPr>
        <w:pStyle w:val="ListParagraph"/>
        <w:numPr>
          <w:ilvl w:val="0"/>
          <w:numId w:val="16"/>
        </w:numPr>
        <w:spacing w:lineRule="auto" w:line="276" w:before="0" w:after="120"/>
        <w:ind w:hanging="357" w:start="714"/>
        <w:contextualSpacing/>
        <w:rPr>
          <w:rFonts w:ascii="Calibri" w:hAnsi="Calibri" w:cs="Calibri" w:asciiTheme="minorHAnsi" w:cstheme="minorHAnsi" w:hAnsiTheme="minorHAnsi" w:hint="eastAsia"/>
          <w:sz w:val="24"/>
          <w:szCs w:val="24"/>
          <w:lang w:val="en-AU"/>
        </w:rPr>
      </w:pPr>
      <w:r>
        <w:rPr>
          <w:rFonts w:cs="Calibri" w:ascii="Calibri" w:hAnsi="Calibri" w:asciiTheme="minorHAnsi" w:cstheme="minorHAnsi" w:hAnsiTheme="minorHAnsi"/>
          <w:sz w:val="24"/>
          <w:szCs w:val="24"/>
          <w:lang w:val="en-AU"/>
        </w:rPr>
        <w:t>OCSP Response Accuracy – query the OCSP endpoint and confirm correct revocation status for all sample certificates.</w:t>
      </w:r>
    </w:p>
    <w:p>
      <w:pPr>
        <w:pStyle w:val="ListParagraph"/>
        <w:numPr>
          <w:ilvl w:val="0"/>
          <w:numId w:val="0"/>
        </w:numPr>
        <w:spacing w:lineRule="auto" w:line="276" w:before="0" w:after="120"/>
        <w:ind w:hanging="0" w:start="714"/>
        <w:contextualSpacing/>
        <w:rPr>
          <w:rFonts w:ascii="Calibri" w:hAnsi="Calibri" w:cs="Calibri" w:asciiTheme="minorHAnsi" w:cstheme="minorHAnsi" w:hAnsiTheme="minorHAnsi" w:hint="eastAsia"/>
          <w:sz w:val="24"/>
          <w:szCs w:val="24"/>
          <w:lang w:val="en-AU"/>
        </w:rPr>
      </w:pPr>
      <w:r>
        <w:rPr/>
      </w:r>
    </w:p>
    <w:p>
      <w:pPr>
        <w:pStyle w:val="Annex"/>
        <w:ind w:hanging="0" w:start="0"/>
        <w:rPr>
          <w:rFonts w:hint="eastAsia"/>
        </w:rPr>
      </w:pPr>
      <w:r>
        <w:rPr/>
        <w:t>References</w:t>
      </w:r>
    </w:p>
    <w:p>
      <w:pPr>
        <w:pStyle w:val="ListParagraph"/>
        <w:spacing w:lineRule="auto" w:line="276" w:before="0" w:after="120"/>
        <w:ind w:start="357"/>
        <w:contextualSpacing/>
        <w:rPr>
          <w:rFonts w:ascii="Calibri" w:hAnsi="Calibri" w:cs="Calibri" w:asciiTheme="minorHAnsi" w:cstheme="minorHAnsi" w:hAnsiTheme="minorHAnsi" w:hint="eastAsia"/>
          <w:sz w:val="24"/>
          <w:szCs w:val="24"/>
          <w:lang w:val="en-AU"/>
        </w:rPr>
      </w:pPr>
      <w:r>
        <w:rPr>
          <w:rFonts w:cs="Calibri" w:ascii="Calibri" w:hAnsi="Calibri" w:cstheme="minorHAnsi"/>
          <w:sz w:val="24"/>
          <w:szCs w:val="24"/>
          <w:lang w:val="en-AU"/>
        </w:rPr>
        <w:t>G1183: IALA Guideline 1183 'The provision of Maritime Connectivity Platform (MCP) identities'</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991" w:gutter="0" w:header="709" w:top="1031"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swiss"/>
    <w:pitch w:val="variable"/>
  </w:font>
  <w:font w:name="Arial">
    <w:charset w:val="01" w:characterSet="utf-8"/>
    <w:family w:val="swiss"/>
    <w:pitch w:val="variable"/>
  </w:font>
  <w:font w:name="Tahoma">
    <w:charset w:val="01" w:characterSet="utf-8"/>
    <w:family w:val="swiss"/>
    <w:pitch w:val="variable"/>
  </w:font>
  <w:font w:name="OpenSymbol">
    <w:altName w:val="Arial Unicode MS"/>
    <w:charset w:val="01" w:characterSet="utf-8"/>
    <w:family w:val="swiss"/>
    <w:pitch w:val="variable"/>
  </w:font>
  <w:font w:name="Liberation Sans">
    <w:altName w:val="Arial"/>
    <w:charset w:val="01" w:characterSet="utf-8"/>
    <w:family w:val="swiss"/>
    <w:pitch w:val="variable"/>
  </w:font>
  <w:font w:name="Times New Roman">
    <w:charset w:val="01" w:characterSet="utf-8"/>
    <w:family w:val="roman"/>
    <w:pitch w:val="variable"/>
  </w:font>
  <w:font w:name="Cambria Math">
    <w:charset w:val="01" w:characterSet="utf-8"/>
    <w:family w:val="roman"/>
    <w:pitch w:val="variable"/>
  </w:font>
  <w:font w:name="Arial Bold">
    <w:charset w:val="01" w:characterSet="utf-8"/>
    <w:family w:val="roman"/>
    <w:pitch w:val="variable"/>
  </w:font>
  <w:font w:name="Courier New">
    <w:charset w:val="01"/>
    <w:family w:val="modern"/>
    <w:pitch w:val="fixed"/>
  </w:font>
  <w:font w:name="Wingdings">
    <w:charset w:val="01"/>
    <w:family w:val="auto"/>
    <w:pitch w:val="variable"/>
  </w:font>
  <w:font w:name="Symbol">
    <w:charset w:val="01"/>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hint="eastAsia"/>
      </w:rPr>
    </w:pPr>
    <w:r>
      <w:rPr>
        <w:rFonts w:ascii="Calibri" w:hAnsi="Calibri"/>
      </w:rPr>
      <w:tab/>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3</w:t>
    </w:r>
    <w:r>
      <w:rPr>
        <w:rFonts w:ascii="Calibri" w:hAnsi="Calibri"/>
      </w:rPr>
      <w:fldChar w:fldCharType="end"/>
    </w:r>
  </w:p>
  <w:p>
    <w:pPr>
      <w:pStyle w:val="Normal"/>
      <w:rPr>
        <w:rFonts w:hint="eastAsia"/>
      </w:rPr>
    </w:pPr>
    <w:r>
      <w:rPr>
        <w:rFonts w:hint="eastAsia"/>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hint="eastAsia"/>
      </w:rPr>
    </w:pPr>
    <w:r>
      <w:rPr>
        <w:rFonts w:hint="eastAsia"/>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rFonts w:hint="eastAsia"/>
      </w:rPr>
    </w:pPr>
    <w:r>
      <w:rPr>
        <w:rFonts w:hint="eastAsia"/>
      </w:rPr>
      <w:drawing>
        <wp:anchor behindDoc="1" distT="0" distB="0" distL="114300" distR="114300" simplePos="0" locked="0" layoutInCell="0" allowOverlap="1" relativeHeight="6">
          <wp:simplePos x="0" y="0"/>
          <wp:positionH relativeFrom="column">
            <wp:posOffset>5317490</wp:posOffset>
          </wp:positionH>
          <wp:positionV relativeFrom="paragraph">
            <wp:posOffset>-321945</wp:posOffset>
          </wp:positionV>
          <wp:extent cx="483235" cy="335280"/>
          <wp:effectExtent l="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483235" cy="335280"/>
                  </a:xfrm>
                  <a:prstGeom prst="rect">
                    <a:avLst/>
                  </a:prstGeom>
                  <a:noFill/>
                </pic:spPr>
              </pic:pic>
            </a:graphicData>
          </a:graphic>
        </wp:anchor>
      </w:drawing>
    </w:r>
  </w:p>
  <w:p>
    <w:pPr>
      <w:pStyle w:val="Normal"/>
      <w:rPr>
        <w:rFonts w:hint="eastAsia"/>
      </w:rPr>
    </w:pPr>
    <w:r>
      <w:rPr>
        <w:rFonts w:hint="eastAsia"/>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hint="eastAsia"/>
      </w:rPr>
    </w:pPr>
    <w:r>
      <w:rPr>
        <w:rFonts w:hint="eastAsia"/>
      </w:rPr>
      <w:drawing>
        <wp:anchor behindDoc="1" distT="0" distB="0" distL="114300" distR="114300" simplePos="0" locked="0" layoutInCell="0" allowOverlap="1" relativeHeight="2">
          <wp:simplePos x="0" y="0"/>
          <wp:positionH relativeFrom="column">
            <wp:posOffset>2689225</wp:posOffset>
          </wp:positionH>
          <wp:positionV relativeFrom="paragraph">
            <wp:posOffset>-203835</wp:posOffset>
          </wp:positionV>
          <wp:extent cx="824230" cy="575945"/>
          <wp:effectExtent l="0" t="0" r="0" b="0"/>
          <wp:wrapSquare wrapText="bothSides"/>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stretch>
                    <a:fillRect/>
                  </a:stretch>
                </pic:blipFill>
                <pic:spPr bwMode="auto">
                  <a:xfrm>
                    <a:off x="0" y="0"/>
                    <a:ext cx="824230" cy="575945"/>
                  </a:xfrm>
                  <a:prstGeom prst="rect">
                    <a:avLst/>
                  </a:prstGeom>
                  <a:noFill/>
                </pic:spPr>
              </pic:pic>
            </a:graphicData>
          </a:graphic>
        </wp:anchor>
      </w:drawing>
    </w:r>
  </w:p>
  <w:p>
    <w:pPr>
      <w:pStyle w:val="Header"/>
      <w:jc w:val="center"/>
      <w:rPr>
        <w:rFonts w:hint="eastAsia"/>
      </w:rPr>
    </w:pPr>
    <w:r>
      <w:rPr>
        <w:rFonts w:hint="eastAsia"/>
      </w:rPr>
    </w:r>
  </w:p>
  <w:p>
    <w:pPr>
      <w:pStyle w:val="Header"/>
      <w:jc w:val="center"/>
      <w:rPr>
        <w:rFonts w:hint="eastAsia"/>
      </w:rPr>
    </w:pPr>
    <w:r>
      <w:rPr>
        <w:rFonts w:hint="eastAsia"/>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start"/>
      <w:pPr>
        <w:tabs>
          <w:tab w:val="num" w:pos="567"/>
        </w:tabs>
        <w:ind w:start="567" w:hanging="567"/>
      </w:pPr>
      <w:rPr/>
    </w:lvl>
    <w:lvl w:ilvl="1">
      <w:start w:val="1"/>
      <w:numFmt w:val="decimal"/>
      <w:pStyle w:val="Heading2"/>
      <w:lvlText w:val="%1.%2"/>
      <w:lvlJc w:val="start"/>
      <w:pPr>
        <w:tabs>
          <w:tab w:val="num" w:pos="851"/>
        </w:tabs>
        <w:ind w:start="851" w:hanging="851"/>
      </w:pPr>
      <w:rPr/>
    </w:lvl>
    <w:lvl w:ilvl="2">
      <w:start w:val="1"/>
      <w:numFmt w:val="decimal"/>
      <w:pStyle w:val="Heading3"/>
      <w:lvlText w:val="%1.%2.%3"/>
      <w:lvlJc w:val="start"/>
      <w:pPr>
        <w:tabs>
          <w:tab w:val="num" w:pos="992"/>
        </w:tabs>
        <w:ind w:start="992" w:hanging="992"/>
      </w:pPr>
      <w:rPr/>
    </w:lvl>
    <w:lvl w:ilvl="3">
      <w:start w:val="1"/>
      <w:numFmt w:val="decimal"/>
      <w:pStyle w:val="Heading4"/>
      <w:lvlText w:val="%1.%2.%3.%4"/>
      <w:lvlJc w:val="start"/>
      <w:pPr>
        <w:tabs>
          <w:tab w:val="num" w:pos="1134"/>
        </w:tabs>
        <w:ind w:start="1134" w:hanging="1134"/>
      </w:pPr>
      <w:rPr/>
    </w:lvl>
    <w:lvl w:ilvl="4">
      <w:start w:val="1"/>
      <w:numFmt w:val="decimal"/>
      <w:pStyle w:val="Heading5"/>
      <w:lvlText w:val="%1.%2.%3.%4.%5"/>
      <w:lvlJc w:val="start"/>
      <w:pPr>
        <w:tabs>
          <w:tab w:val="num" w:pos="1008"/>
        </w:tabs>
        <w:ind w:start="1008" w:hanging="1008"/>
      </w:pPr>
      <w:rPr/>
    </w:lvl>
    <w:lvl w:ilvl="5">
      <w:start w:val="1"/>
      <w:numFmt w:val="decimal"/>
      <w:pStyle w:val="Heading6"/>
      <w:lvlText w:val="%1.%2.%3.%4.%5.%6"/>
      <w:lvlJc w:val="start"/>
      <w:pPr>
        <w:tabs>
          <w:tab w:val="num" w:pos="1152"/>
        </w:tabs>
        <w:ind w:start="1152" w:hanging="1152"/>
      </w:pPr>
      <w:rPr/>
    </w:lvl>
    <w:lvl w:ilvl="6">
      <w:start w:val="1"/>
      <w:numFmt w:val="decimal"/>
      <w:pStyle w:val="Heading7"/>
      <w:lvlText w:val="%1.%2.%3.%4.%5.%6.%7"/>
      <w:lvlJc w:val="start"/>
      <w:pPr>
        <w:tabs>
          <w:tab w:val="num" w:pos="1296"/>
        </w:tabs>
        <w:ind w:start="1296" w:hanging="1296"/>
      </w:pPr>
      <w:rPr/>
    </w:lvl>
    <w:lvl w:ilvl="7">
      <w:start w:val="1"/>
      <w:numFmt w:val="decimal"/>
      <w:pStyle w:val="Heading8"/>
      <w:lvlText w:val="%1.%2.%3.%4.%5.%6.%7.%8"/>
      <w:lvlJc w:val="start"/>
      <w:pPr>
        <w:tabs>
          <w:tab w:val="num" w:pos="1440"/>
        </w:tabs>
        <w:ind w:start="1440" w:hanging="1440"/>
      </w:pPr>
      <w:rPr/>
    </w:lvl>
    <w:lvl w:ilvl="8">
      <w:start w:val="1"/>
      <w:numFmt w:val="decimal"/>
      <w:pStyle w:val="Heading9"/>
      <w:lvlText w:val="%1.%2.%3.%4.%5.%6.%7.%8.%9"/>
      <w:lvlJc w:val="start"/>
      <w:pPr>
        <w:tabs>
          <w:tab w:val="num" w:pos="1584"/>
        </w:tabs>
        <w:ind w:start="1584" w:hanging="1584"/>
      </w:pPr>
      <w:rPr/>
    </w:lvl>
  </w:abstractNum>
  <w:abstractNum w:abstractNumId="2">
    <w:lvl w:ilvl="0">
      <w:start w:val="1"/>
      <w:numFmt w:val="decimal"/>
      <w:lvlText w:val="Figure %1"/>
      <w:lvlJc w:val="start"/>
      <w:pPr>
        <w:tabs>
          <w:tab w:val="num" w:pos="1701"/>
        </w:tabs>
        <w:ind w:start="1701" w:hanging="1701"/>
      </w:pPr>
      <w:rPr>
        <w:rFonts w:ascii="Arial" w:hAnsi="Arial"/>
        <w:b w:val="false"/>
        <w:i/>
        <w:sz w:val="22"/>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
    <w:lvl w:ilvl="0">
      <w:start w:val="1"/>
      <w:numFmt w:val="decimal"/>
      <w:lvlText w:val="%1"/>
      <w:lvlJc w:val="start"/>
      <w:pPr>
        <w:tabs>
          <w:tab w:val="num" w:pos="567"/>
        </w:tabs>
        <w:ind w:start="567" w:hanging="567"/>
      </w:pPr>
      <w:rPr>
        <w:rFonts w:ascii="Calibri" w:hAnsi="Calibri"/>
        <w:b/>
        <w:i w:val="false"/>
        <w:sz w:val="24"/>
      </w:rPr>
    </w:lvl>
    <w:lvl w:ilvl="1">
      <w:start w:val="1"/>
      <w:numFmt w:val="decimal"/>
      <w:lvlText w:val="%1.%2"/>
      <w:lvlJc w:val="start"/>
      <w:pPr>
        <w:tabs>
          <w:tab w:val="num" w:pos="851"/>
        </w:tabs>
        <w:ind w:start="851" w:hanging="851"/>
      </w:pPr>
      <w:rPr>
        <w:rFonts w:ascii="Arial Bold" w:hAnsi="Arial Bold"/>
        <w:b/>
        <w:i w:val="false"/>
        <w:sz w:val="22"/>
      </w:rPr>
    </w:lvl>
    <w:lvl w:ilvl="2">
      <w:start w:val="1"/>
      <w:numFmt w:val="decimal"/>
      <w:lvlText w:val="%2.%3.%1"/>
      <w:lvlJc w:val="start"/>
      <w:pPr>
        <w:tabs>
          <w:tab w:val="num" w:pos="992"/>
        </w:tabs>
        <w:ind w:start="992" w:hanging="992"/>
      </w:pPr>
      <w:rPr>
        <w:rFonts w:ascii="Arial" w:hAnsi="Arial"/>
        <w:b w:val="false"/>
        <w:i w:val="false"/>
        <w:sz w:val="22"/>
      </w:rPr>
    </w:lvl>
    <w:lvl w:ilvl="3">
      <w:start w:val="1"/>
      <w:numFmt w:val="decimal"/>
      <w:lvlText w:val="%1.%2.%3.%4"/>
      <w:lvlJc w:val="start"/>
      <w:pPr>
        <w:tabs>
          <w:tab w:val="num" w:pos="1134"/>
        </w:tabs>
        <w:ind w:start="1134" w:hanging="1134"/>
      </w:pPr>
      <w:rPr>
        <w:rFonts w:ascii="Arial" w:hAnsi="Arial"/>
        <w:b w:val="false"/>
        <w:i w:val="false"/>
        <w:sz w:val="22"/>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4">
    <w:lvl w:ilvl="0">
      <w:start w:val="1"/>
      <w:numFmt w:val="decimal"/>
      <w:lvlText w:val="Table %1"/>
      <w:lvlJc w:val="start"/>
      <w:pPr>
        <w:tabs>
          <w:tab w:val="num" w:pos="1134"/>
        </w:tabs>
        <w:ind w:start="1134" w:hanging="1134"/>
      </w:pPr>
      <w:rPr>
        <w:rFonts w:ascii="Arial" w:hAnsi="Arial"/>
        <w:b w:val="false"/>
        <w:i/>
        <w:sz w:val="22"/>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5">
    <w:lvl w:ilvl="0">
      <w:start w:val="1"/>
      <w:numFmt w:val="decimal"/>
      <w:lvlText w:val="%1"/>
      <w:lvlJc w:val="start"/>
      <w:pPr>
        <w:tabs>
          <w:tab w:val="num" w:pos="567"/>
        </w:tabs>
        <w:ind w:start="567" w:hanging="567"/>
      </w:pPr>
      <w:rPr>
        <w:rFonts w:ascii="Arial" w:hAnsi="Arial"/>
        <w:b/>
        <w:i w:val="false"/>
        <w:sz w:val="24"/>
      </w:rPr>
    </w:lvl>
    <w:lvl w:ilvl="1">
      <w:start w:val="1"/>
      <w:numFmt w:val="decimal"/>
      <w:lvlText w:val="%1.%2"/>
      <w:lvlJc w:val="start"/>
      <w:pPr>
        <w:tabs>
          <w:tab w:val="num" w:pos="851"/>
        </w:tabs>
        <w:ind w:start="851" w:hanging="851"/>
      </w:pPr>
      <w:rPr>
        <w:rFonts w:ascii="Arial" w:hAnsi="Arial"/>
        <w:b/>
        <w:i w:val="false"/>
        <w:sz w:val="22"/>
      </w:rPr>
    </w:lvl>
    <w:lvl w:ilvl="2">
      <w:start w:val="1"/>
      <w:numFmt w:val="decimal"/>
      <w:lvlText w:val="%1.%2.%3"/>
      <w:lvlJc w:val="start"/>
      <w:pPr>
        <w:tabs>
          <w:tab w:val="num" w:pos="992"/>
        </w:tabs>
        <w:ind w:start="992" w:hanging="992"/>
      </w:pPr>
      <w:rPr>
        <w:rFonts w:ascii="Arial" w:hAnsi="Arial"/>
        <w:b w:val="false"/>
        <w:i w:val="false"/>
        <w:sz w:val="22"/>
      </w:rPr>
    </w:lvl>
    <w:lvl w:ilvl="3">
      <w:start w:val="1"/>
      <w:numFmt w:val="decimal"/>
      <w:lvlText w:val="%1.%2.%3.%4"/>
      <w:lvlJc w:val="start"/>
      <w:pPr>
        <w:tabs>
          <w:tab w:val="num" w:pos="1134"/>
        </w:tabs>
        <w:ind w:start="1134" w:hanging="1134"/>
      </w:pPr>
      <w:rPr>
        <w:rFonts w:ascii="Arial" w:hAnsi="Arial"/>
        <w:b w:val="false"/>
        <w:i w:val="false"/>
        <w:sz w:val="22"/>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
    <w:lvl w:ilvl="0">
      <w:start w:val="1"/>
      <w:numFmt w:val="bullet"/>
      <w:lvlText w:val="-"/>
      <w:lvlJc w:val="start"/>
      <w:pPr>
        <w:tabs>
          <w:tab w:val="num" w:pos="0"/>
        </w:tabs>
        <w:ind w:start="2421" w:hanging="360"/>
      </w:pPr>
      <w:rPr>
        <w:rFonts w:ascii="Arial" w:hAnsi="Arial" w:cs="Arial" w:hint="default"/>
      </w:rPr>
    </w:lvl>
    <w:lvl w:ilvl="1">
      <w:start w:val="1"/>
      <w:numFmt w:val="bullet"/>
      <w:lvlText w:val="o"/>
      <w:lvlJc w:val="start"/>
      <w:pPr>
        <w:tabs>
          <w:tab w:val="num" w:pos="0"/>
        </w:tabs>
        <w:ind w:start="3141" w:hanging="360"/>
      </w:pPr>
      <w:rPr>
        <w:rFonts w:ascii="Courier New" w:hAnsi="Courier New" w:cs="Courier New" w:hint="default"/>
      </w:rPr>
    </w:lvl>
    <w:lvl w:ilvl="2">
      <w:start w:val="1"/>
      <w:numFmt w:val="bullet"/>
      <w:lvlText w:val=""/>
      <w:lvlJc w:val="start"/>
      <w:pPr>
        <w:tabs>
          <w:tab w:val="num" w:pos="0"/>
        </w:tabs>
        <w:ind w:start="3861" w:hanging="360"/>
      </w:pPr>
      <w:rPr>
        <w:rFonts w:ascii="Wingdings" w:hAnsi="Wingdings" w:cs="Wingdings" w:hint="default"/>
      </w:rPr>
    </w:lvl>
    <w:lvl w:ilvl="3">
      <w:start w:val="1"/>
      <w:numFmt w:val="bullet"/>
      <w:lvlText w:val=""/>
      <w:lvlJc w:val="start"/>
      <w:pPr>
        <w:tabs>
          <w:tab w:val="num" w:pos="0"/>
        </w:tabs>
        <w:ind w:start="4581" w:hanging="360"/>
      </w:pPr>
      <w:rPr>
        <w:rFonts w:ascii="Symbol" w:hAnsi="Symbol" w:cs="Symbol" w:hint="default"/>
      </w:rPr>
    </w:lvl>
    <w:lvl w:ilvl="4">
      <w:start w:val="1"/>
      <w:numFmt w:val="bullet"/>
      <w:lvlText w:val="o"/>
      <w:lvlJc w:val="start"/>
      <w:pPr>
        <w:tabs>
          <w:tab w:val="num" w:pos="0"/>
        </w:tabs>
        <w:ind w:start="5301" w:hanging="360"/>
      </w:pPr>
      <w:rPr>
        <w:rFonts w:ascii="Courier New" w:hAnsi="Courier New" w:cs="Courier New" w:hint="default"/>
      </w:rPr>
    </w:lvl>
    <w:lvl w:ilvl="5">
      <w:start w:val="1"/>
      <w:numFmt w:val="bullet"/>
      <w:lvlText w:val=""/>
      <w:lvlJc w:val="start"/>
      <w:pPr>
        <w:tabs>
          <w:tab w:val="num" w:pos="0"/>
        </w:tabs>
        <w:ind w:start="6021" w:hanging="360"/>
      </w:pPr>
      <w:rPr>
        <w:rFonts w:ascii="Wingdings" w:hAnsi="Wingdings" w:cs="Wingdings" w:hint="default"/>
      </w:rPr>
    </w:lvl>
    <w:lvl w:ilvl="6">
      <w:start w:val="1"/>
      <w:numFmt w:val="bullet"/>
      <w:lvlText w:val=""/>
      <w:lvlJc w:val="start"/>
      <w:pPr>
        <w:tabs>
          <w:tab w:val="num" w:pos="0"/>
        </w:tabs>
        <w:ind w:start="6741" w:hanging="360"/>
      </w:pPr>
      <w:rPr>
        <w:rFonts w:ascii="Symbol" w:hAnsi="Symbol" w:cs="Symbol" w:hint="default"/>
      </w:rPr>
    </w:lvl>
    <w:lvl w:ilvl="7">
      <w:start w:val="1"/>
      <w:numFmt w:val="bullet"/>
      <w:lvlText w:val="o"/>
      <w:lvlJc w:val="start"/>
      <w:pPr>
        <w:tabs>
          <w:tab w:val="num" w:pos="0"/>
        </w:tabs>
        <w:ind w:start="7461" w:hanging="360"/>
      </w:pPr>
      <w:rPr>
        <w:rFonts w:ascii="Courier New" w:hAnsi="Courier New" w:cs="Courier New" w:hint="default"/>
      </w:rPr>
    </w:lvl>
    <w:lvl w:ilvl="8">
      <w:start w:val="1"/>
      <w:numFmt w:val="bullet"/>
      <w:lvlText w:val=""/>
      <w:lvlJc w:val="start"/>
      <w:pPr>
        <w:tabs>
          <w:tab w:val="num" w:pos="0"/>
        </w:tabs>
        <w:ind w:start="8181" w:hanging="360"/>
      </w:pPr>
      <w:rPr>
        <w:rFonts w:ascii="Wingdings" w:hAnsi="Wingdings" w:cs="Wingdings" w:hint="default"/>
      </w:rPr>
    </w:lvl>
  </w:abstractNum>
  <w:abstractNum w:abstractNumId="7">
    <w:lvl w:ilvl="0">
      <w:start w:val="1"/>
      <w:numFmt w:val="decimal"/>
      <w:lvlText w:val="Figure %1"/>
      <w:lvlJc w:val="start"/>
      <w:pPr>
        <w:tabs>
          <w:tab w:val="num" w:pos="1134"/>
        </w:tabs>
        <w:ind w:start="1134" w:hanging="1134"/>
      </w:pPr>
      <w:rPr>
        <w:rFonts w:ascii="Calibri" w:hAnsi="Calibri"/>
        <w:b w:val="false"/>
        <w:i/>
        <w:sz w:val="22"/>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decimal"/>
      <w:lvlText w:val="[%1]"/>
      <w:lvlJc w:val="start"/>
      <w:pPr>
        <w:tabs>
          <w:tab w:val="num" w:pos="567"/>
        </w:tabs>
        <w:ind w:start="567" w:hanging="567"/>
      </w:pPr>
      <w:rPr>
        <w:rFonts w:ascii="Calibri" w:hAnsi="Calibri"/>
        <w:b w:val="false"/>
        <w:i w:val="false"/>
        <w:sz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Table %1"/>
      <w:lvlJc w:val="start"/>
      <w:pPr>
        <w:tabs>
          <w:tab w:val="num" w:pos="1134"/>
        </w:tabs>
        <w:ind w:start="1134" w:hanging="1134"/>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10">
    <w:lvl w:ilvl="0">
      <w:start w:val="1"/>
      <w:numFmt w:val="decimal"/>
      <w:lvlText w:val="%1"/>
      <w:lvlJc w:val="start"/>
      <w:pPr>
        <w:tabs>
          <w:tab w:val="num" w:pos="567"/>
        </w:tabs>
        <w:ind w:start="567" w:hanging="567"/>
      </w:pPr>
      <w:rPr>
        <w:rFonts w:ascii="Calibri" w:hAnsi="Calibri"/>
        <w:b w:val="false"/>
        <w:i w:val="false"/>
        <w:sz w:val="22"/>
        <w:szCs w:val="22"/>
      </w:rPr>
    </w:lvl>
    <w:lvl w:ilvl="1">
      <w:start w:val="1"/>
      <w:numFmt w:val="lowerLetter"/>
      <w:lvlText w:val="%2."/>
      <w:lvlJc w:val="start"/>
      <w:pPr>
        <w:tabs>
          <w:tab w:val="num" w:pos="1134"/>
        </w:tabs>
        <w:ind w:start="1134" w:hanging="567"/>
      </w:pPr>
      <w:rPr/>
    </w:lvl>
    <w:lvl w:ilvl="2">
      <w:start w:val="1"/>
      <w:numFmt w:val="lowerRoman"/>
      <w:lvlText w:val="%3."/>
      <w:lvlJc w:val="start"/>
      <w:pPr>
        <w:tabs>
          <w:tab w:val="num" w:pos="1701"/>
        </w:tabs>
        <w:ind w:start="1701" w:hanging="567"/>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1">
    <w:lvl w:ilvl="0">
      <w:start w:val="1"/>
      <w:numFmt w:val="decimal"/>
      <w:lvlText w:val="(equation %1)"/>
      <w:lvlJc w:val="end"/>
      <w:pPr>
        <w:tabs>
          <w:tab w:val="num" w:pos="0"/>
        </w:tabs>
        <w:ind w:start="8180" w:hanging="360"/>
      </w:pPr>
      <w:rPr>
        <w:rFonts w:ascii="Calibri" w:hAnsi="Calibri" w:cs="Times New Roman"/>
        <w:b w:val="false"/>
        <w:bCs w:val="false"/>
        <w:i w:val="false"/>
        <w:iCs w:val="false"/>
        <w:caps w:val="false"/>
        <w:smallCaps w:val="false"/>
        <w:strike w:val="false"/>
        <w:dstrike w:val="false"/>
        <w:vanish w:val="false"/>
        <w:color w:val="000000"/>
        <w:spacing w:val="0"/>
        <w:kern w:val="0"/>
        <w:position w:val="0"/>
        <w:sz w:val="20"/>
        <w:u w:val="none"/>
        <w:vertAlign w:val="baseline"/>
        <w:em w:val="none"/>
      </w:rPr>
    </w:lvl>
    <w:lvl w:ilvl="1">
      <w:start w:val="1"/>
      <w:numFmt w:val="lowerLetter"/>
      <w:lvlText w:val="%2."/>
      <w:lvlJc w:val="start"/>
      <w:pPr>
        <w:tabs>
          <w:tab w:val="num" w:pos="0"/>
        </w:tabs>
        <w:ind w:start="8900" w:hanging="360"/>
      </w:pPr>
      <w:rPr/>
    </w:lvl>
    <w:lvl w:ilvl="2">
      <w:start w:val="1"/>
      <w:numFmt w:val="lowerRoman"/>
      <w:lvlText w:val="%3."/>
      <w:lvlJc w:val="end"/>
      <w:pPr>
        <w:tabs>
          <w:tab w:val="num" w:pos="0"/>
        </w:tabs>
        <w:ind w:start="9620" w:hanging="180"/>
      </w:pPr>
      <w:rPr/>
    </w:lvl>
    <w:lvl w:ilvl="3">
      <w:start w:val="1"/>
      <w:numFmt w:val="decimal"/>
      <w:lvlText w:val="%4."/>
      <w:lvlJc w:val="start"/>
      <w:pPr>
        <w:tabs>
          <w:tab w:val="num" w:pos="0"/>
        </w:tabs>
        <w:ind w:start="10340" w:hanging="360"/>
      </w:pPr>
      <w:rPr/>
    </w:lvl>
    <w:lvl w:ilvl="4">
      <w:start w:val="1"/>
      <w:numFmt w:val="lowerLetter"/>
      <w:lvlText w:val="%5."/>
      <w:lvlJc w:val="start"/>
      <w:pPr>
        <w:tabs>
          <w:tab w:val="num" w:pos="0"/>
        </w:tabs>
        <w:ind w:start="11060" w:hanging="360"/>
      </w:pPr>
      <w:rPr/>
    </w:lvl>
    <w:lvl w:ilvl="5">
      <w:start w:val="1"/>
      <w:numFmt w:val="lowerRoman"/>
      <w:lvlText w:val="%6."/>
      <w:lvlJc w:val="end"/>
      <w:pPr>
        <w:tabs>
          <w:tab w:val="num" w:pos="0"/>
        </w:tabs>
        <w:ind w:start="11780" w:hanging="180"/>
      </w:pPr>
      <w:rPr/>
    </w:lvl>
    <w:lvl w:ilvl="6">
      <w:start w:val="1"/>
      <w:numFmt w:val="decimal"/>
      <w:lvlText w:val="%7."/>
      <w:lvlJc w:val="start"/>
      <w:pPr>
        <w:tabs>
          <w:tab w:val="num" w:pos="0"/>
        </w:tabs>
        <w:ind w:start="12500" w:hanging="360"/>
      </w:pPr>
      <w:rPr/>
    </w:lvl>
    <w:lvl w:ilvl="7">
      <w:start w:val="1"/>
      <w:numFmt w:val="lowerLetter"/>
      <w:lvlText w:val="%8."/>
      <w:lvlJc w:val="start"/>
      <w:pPr>
        <w:tabs>
          <w:tab w:val="num" w:pos="0"/>
        </w:tabs>
        <w:ind w:start="13220" w:hanging="360"/>
      </w:pPr>
      <w:rPr/>
    </w:lvl>
    <w:lvl w:ilvl="8">
      <w:start w:val="1"/>
      <w:numFmt w:val="lowerRoman"/>
      <w:lvlText w:val="%9."/>
      <w:lvlJc w:val="end"/>
      <w:pPr>
        <w:tabs>
          <w:tab w:val="num" w:pos="0"/>
        </w:tabs>
        <w:ind w:start="13940" w:hanging="180"/>
      </w:pPr>
      <w:rPr/>
    </w:lvl>
  </w:abstractNum>
  <w:abstractNum w:abstractNumId="12">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decimal"/>
      <w:lvlText w:val="APPENDIX %1"/>
      <w:lvlJc w:val="start"/>
      <w:pPr>
        <w:tabs>
          <w:tab w:val="num" w:pos="0"/>
        </w:tabs>
        <w:ind w:start="1701" w:hanging="1701"/>
      </w:pPr>
      <w:rPr>
        <w:rFonts w:ascii="Calibri" w:hAnsi="Calibri" w:cs="Times New Roman"/>
        <w:b/>
        <w:bCs/>
        <w:i w:val="false"/>
        <w:iCs w:val="false"/>
        <w:caps/>
        <w:strike w:val="false"/>
        <w:dstrike w:val="false"/>
        <w:vanish w:val="false"/>
        <w:color w:val="4F81BD"/>
        <w:spacing w:val="0"/>
        <w:w w:val="100"/>
        <w:kern w:val="0"/>
        <w:position w:val="0"/>
        <w:sz w:val="24"/>
        <w:szCs w:val="24"/>
        <w:u w:val="none"/>
        <w:effect w:val="none"/>
        <w:vertAlign w:val="baseline"/>
        <w:em w:val="non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15">
    <w:lvl w:ilvl="0">
      <w:start w:val="1"/>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7">
    <w:lvl w:ilvl="0">
      <w:start w:val="1"/>
      <w:numFmt w:val="decimal"/>
      <w:lvlText w:val="%1."/>
      <w:lvlJc w:val="start"/>
      <w:pPr>
        <w:tabs>
          <w:tab w:val="num" w:pos="720"/>
        </w:tabs>
        <w:ind w:start="720" w:hanging="360"/>
      </w:pPr>
      <w:rPr>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80"/>
  <w:trackRevisions/>
  <w:defaultTabStop w:val="720"/>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Batang"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Arial" w:hAnsi="Arial" w:cs="Calibri" w:eastAsia="Batang"/>
      <w:color w:val="auto"/>
      <w:kern w:val="0"/>
      <w:sz w:val="22"/>
      <w:szCs w:val="22"/>
      <w:lang w:val="en-GB" w:eastAsia="en-GB" w:bidi="ar-SA"/>
    </w:rPr>
  </w:style>
  <w:style w:type="paragraph" w:styleId="Heading1">
    <w:name w:val="heading 1"/>
    <w:basedOn w:val="Normal"/>
    <w:next w:val="BodyText"/>
    <w:uiPriority w:val="9"/>
    <w:qFormat/>
    <w:pPr>
      <w:keepNext w:val="true"/>
      <w:numPr>
        <w:ilvl w:val="0"/>
        <w:numId w:val="1"/>
      </w:numPr>
      <w:spacing w:before="960" w:after="480"/>
      <w:outlineLvl w:val="0"/>
    </w:pPr>
    <w:rPr>
      <w:rFonts w:ascii="Calibri" w:hAnsi="Calibri"/>
      <w:b/>
      <w:caps/>
      <w:color w:val="0070C0"/>
      <w:kern w:val="2"/>
      <w:sz w:val="24"/>
      <w:lang w:eastAsia="de-DE"/>
    </w:rPr>
  </w:style>
  <w:style w:type="paragraph" w:styleId="Heading2">
    <w:name w:val="heading 2"/>
    <w:basedOn w:val="Normal"/>
    <w:next w:val="BodyText"/>
    <w:uiPriority w:val="9"/>
    <w:semiHidden/>
    <w:unhideWhenUsed/>
    <w:qFormat/>
    <w:pPr>
      <w:numPr>
        <w:ilvl w:val="1"/>
        <w:numId w:val="1"/>
      </w:numPr>
      <w:spacing w:before="480" w:after="240"/>
      <w:outlineLvl w:val="1"/>
    </w:pPr>
    <w:rPr>
      <w:rFonts w:ascii="Calibri" w:hAnsi="Calibri"/>
      <w:b/>
      <w:color w:val="0070C0"/>
      <w:sz w:val="24"/>
      <w:szCs w:val="24"/>
    </w:rPr>
  </w:style>
  <w:style w:type="paragraph" w:styleId="Heading3">
    <w:name w:val="heading 3"/>
    <w:basedOn w:val="Normal"/>
    <w:next w:val="BodyText"/>
    <w:uiPriority w:val="9"/>
    <w:semiHidden/>
    <w:unhideWhenUsed/>
    <w:qFormat/>
    <w:pPr>
      <w:keepNext w:val="true"/>
      <w:numPr>
        <w:ilvl w:val="2"/>
        <w:numId w:val="1"/>
      </w:numPr>
      <w:spacing w:before="240" w:after="120"/>
      <w:outlineLvl w:val="2"/>
    </w:pPr>
    <w:rPr>
      <w:rFonts w:ascii="Calibri" w:hAnsi="Calibri"/>
      <w:szCs w:val="20"/>
      <w:lang w:eastAsia="de-DE"/>
    </w:rPr>
  </w:style>
  <w:style w:type="paragraph" w:styleId="Heading4">
    <w:name w:val="heading 4"/>
    <w:basedOn w:val="Normal"/>
    <w:next w:val="BodyTextIndent"/>
    <w:uiPriority w:val="9"/>
    <w:semiHidden/>
    <w:unhideWhenUsed/>
    <w:qFormat/>
    <w:pPr>
      <w:keepNext w:val="true"/>
      <w:numPr>
        <w:ilvl w:val="3"/>
        <w:numId w:val="1"/>
      </w:numPr>
      <w:spacing w:before="120" w:after="120"/>
      <w:outlineLvl w:val="3"/>
    </w:pPr>
    <w:rPr>
      <w:szCs w:val="20"/>
      <w:lang w:val="en-US" w:eastAsia="de-DE"/>
    </w:rPr>
  </w:style>
  <w:style w:type="paragraph" w:styleId="Heading5">
    <w:name w:val="heading 5"/>
    <w:basedOn w:val="Normal"/>
    <w:next w:val="Normal"/>
    <w:uiPriority w:val="9"/>
    <w:semiHidden/>
    <w:unhideWhenUsed/>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uiPriority w:val="9"/>
    <w:semiHidden/>
    <w:unhideWhenUsed/>
    <w:qFormat/>
    <w:pPr>
      <w:numPr>
        <w:ilvl w:val="5"/>
        <w:numId w:val="1"/>
      </w:numPr>
      <w:tabs>
        <w:tab w:val="clear" w:pos="720"/>
        <w:tab w:val="left" w:pos="1418" w:leader="none"/>
      </w:tabs>
      <w:spacing w:before="120" w:after="120"/>
      <w:outlineLvl w:val="5"/>
    </w:pPr>
    <w:rPr>
      <w:szCs w:val="20"/>
      <w:lang w:val="de-DE" w:eastAsia="de-DE"/>
    </w:rPr>
  </w:style>
  <w:style w:type="paragraph" w:styleId="Heading7">
    <w:name w:val="heading 7"/>
    <w:basedOn w:val="Normal"/>
    <w:next w:val="BodyTextIndent2"/>
    <w:qFormat/>
    <w:pPr>
      <w:numPr>
        <w:ilvl w:val="6"/>
        <w:numId w:val="1"/>
      </w:numPr>
      <w:tabs>
        <w:tab w:val="clear" w:pos="720"/>
        <w:tab w:val="left" w:pos="1701" w:leader="none"/>
      </w:tabs>
      <w:spacing w:before="120" w:after="120"/>
      <w:outlineLvl w:val="6"/>
    </w:pPr>
    <w:rPr>
      <w:szCs w:val="20"/>
      <w:lang w:val="de-DE" w:eastAsia="de-DE"/>
    </w:rPr>
  </w:style>
  <w:style w:type="paragraph" w:styleId="Heading8">
    <w:name w:val="heading 8"/>
    <w:basedOn w:val="Normal"/>
    <w:next w:val="BodyTextIndent2"/>
    <w:qFormat/>
    <w:pPr>
      <w:numPr>
        <w:ilvl w:val="7"/>
        <w:numId w:val="1"/>
      </w:numPr>
      <w:tabs>
        <w:tab w:val="clear" w:pos="720"/>
        <w:tab w:val="left" w:pos="1985" w:leader="none"/>
      </w:tabs>
      <w:spacing w:before="120" w:after="120"/>
      <w:outlineLvl w:val="7"/>
    </w:pPr>
    <w:rPr>
      <w:szCs w:val="20"/>
      <w:lang w:val="de-DE" w:eastAsia="de-DE"/>
    </w:rPr>
  </w:style>
  <w:style w:type="paragraph" w:styleId="Heading9">
    <w:name w:val="heading 9"/>
    <w:basedOn w:val="Normal"/>
    <w:next w:val="BodyTextIndent2"/>
    <w:qFormat/>
    <w:pPr>
      <w:numPr>
        <w:ilvl w:val="8"/>
        <w:numId w:val="1"/>
      </w:numPr>
      <w:tabs>
        <w:tab w:val="clear" w:pos="720"/>
        <w:tab w:val="left" w:pos="2268" w:leader="none"/>
      </w:tabs>
      <w:spacing w:before="120" w:after="120"/>
      <w:outlineLvl w:val="8"/>
    </w:pPr>
    <w:rPr>
      <w:szCs w:val="20"/>
      <w:lang w:val="de-DE" w:eastAsia="de-DE"/>
    </w:rPr>
  </w:style>
  <w:style w:type="character" w:styleId="DefaultParagraphFont" w:default="1">
    <w:name w:val="Default Paragraph Font"/>
    <w:uiPriority w:val="1"/>
    <w:semiHidden/>
    <w:unhideWhenUsed/>
    <w:qFormat/>
    <w:rPr/>
  </w:style>
  <w:style w:type="character" w:styleId="1Char" w:customStyle="1">
    <w:name w:val="제목 1 Char"/>
    <w:qFormat/>
    <w:rPr>
      <w:rFonts w:cs="Calibri"/>
      <w:b/>
      <w:caps/>
      <w:color w:val="0070C0"/>
      <w:kern w:val="2"/>
      <w:sz w:val="24"/>
      <w:szCs w:val="22"/>
      <w:lang w:eastAsia="de-DE"/>
    </w:rPr>
  </w:style>
  <w:style w:type="character" w:styleId="2Char" w:customStyle="1">
    <w:name w:val="제목 2 Char"/>
    <w:qFormat/>
    <w:rPr>
      <w:rFonts w:cs="Calibri"/>
      <w:b/>
      <w:color w:val="0070C0"/>
      <w:sz w:val="24"/>
      <w:szCs w:val="24"/>
    </w:rPr>
  </w:style>
  <w:style w:type="character" w:styleId="Char" w:customStyle="1">
    <w:name w:val="본문 Char"/>
    <w:qFormat/>
    <w:rPr>
      <w:rFonts w:ascii="Arial" w:hAnsi="Arial" w:cs="Times New Roman"/>
      <w:szCs w:val="24"/>
    </w:rPr>
  </w:style>
  <w:style w:type="character" w:styleId="Char1" w:customStyle="1">
    <w:name w:val="바닥글 Char"/>
    <w:qFormat/>
    <w:rPr>
      <w:rFonts w:ascii="Arial" w:hAnsi="Arial" w:cs="Times New Roman"/>
      <w:szCs w:val="24"/>
    </w:rPr>
  </w:style>
  <w:style w:type="character" w:styleId="Char2" w:customStyle="1">
    <w:name w:val="머리글 Char"/>
    <w:qFormat/>
    <w:rPr>
      <w:rFonts w:ascii="Arial" w:hAnsi="Arial" w:eastAsia="Calibri" w:cs="Times New Roman"/>
      <w:szCs w:val="24"/>
      <w:lang w:eastAsia="en-GB"/>
    </w:rPr>
  </w:style>
  <w:style w:type="character" w:styleId="3Char" w:customStyle="1">
    <w:name w:val="제목 3 Char"/>
    <w:qFormat/>
    <w:rPr>
      <w:rFonts w:cs="Calibri"/>
      <w:sz w:val="22"/>
      <w:lang w:eastAsia="de-DE"/>
    </w:rPr>
  </w:style>
  <w:style w:type="character" w:styleId="4Char" w:customStyle="1">
    <w:name w:val="제목 4 Char"/>
    <w:qFormat/>
    <w:rPr>
      <w:rFonts w:ascii="Arial" w:hAnsi="Arial" w:cs="Calibri"/>
      <w:szCs w:val="20"/>
      <w:lang w:val="en-US" w:eastAsia="de-DE"/>
    </w:rPr>
  </w:style>
  <w:style w:type="character" w:styleId="5Char" w:customStyle="1">
    <w:name w:val="제목 5 Char"/>
    <w:qFormat/>
    <w:rPr>
      <w:rFonts w:ascii="Arial" w:hAnsi="Arial" w:eastAsia="Times New Roman" w:cs="Times New Roman"/>
      <w:szCs w:val="20"/>
      <w:lang w:val="de-DE" w:eastAsia="de-DE"/>
    </w:rPr>
  </w:style>
  <w:style w:type="character" w:styleId="6Char" w:customStyle="1">
    <w:name w:val="제목 6 Char"/>
    <w:qFormat/>
    <w:rPr>
      <w:rFonts w:ascii="Arial" w:hAnsi="Arial" w:cs="Calibri"/>
      <w:szCs w:val="20"/>
      <w:lang w:val="de-DE" w:eastAsia="de-DE"/>
    </w:rPr>
  </w:style>
  <w:style w:type="character" w:styleId="7Char" w:customStyle="1">
    <w:name w:val="제목 7 Char"/>
    <w:qFormat/>
    <w:rPr>
      <w:rFonts w:ascii="Arial" w:hAnsi="Arial" w:cs="Calibri"/>
      <w:szCs w:val="20"/>
      <w:lang w:val="de-DE" w:eastAsia="de-DE"/>
    </w:rPr>
  </w:style>
  <w:style w:type="character" w:styleId="8Char" w:customStyle="1">
    <w:name w:val="제목 8 Char"/>
    <w:qFormat/>
    <w:rPr>
      <w:rFonts w:ascii="Arial" w:hAnsi="Arial" w:cs="Calibri"/>
      <w:szCs w:val="20"/>
      <w:lang w:val="de-DE" w:eastAsia="de-DE"/>
    </w:rPr>
  </w:style>
  <w:style w:type="character" w:styleId="9Char" w:customStyle="1">
    <w:name w:val="제목 9 Char"/>
    <w:qFormat/>
    <w:rPr>
      <w:rFonts w:ascii="Arial" w:hAnsi="Arial" w:cs="Calibri"/>
      <w:szCs w:val="20"/>
      <w:lang w:val="de-DE" w:eastAsia="de-DE"/>
    </w:rPr>
  </w:style>
  <w:style w:type="character" w:styleId="Hyperlink">
    <w:name w:val="Hyperlink"/>
    <w:rPr>
      <w:strike w:val="false"/>
      <w:dstrike w:val="false"/>
      <w:position w:val="0"/>
      <w:sz w:val="20"/>
      <w:vertAlign w:val="baseline"/>
    </w:rPr>
  </w:style>
  <w:style w:type="character" w:styleId="PageNumber">
    <w:name w:val="page number"/>
    <w:basedOn w:val="DefaultParagraphFont"/>
    <w:qFormat/>
    <w:rPr/>
  </w:style>
  <w:style w:type="character" w:styleId="Char3" w:customStyle="1">
    <w:name w:val="본문 들여쓰기 Char"/>
    <w:qFormat/>
    <w:rPr>
      <w:rFonts w:ascii="Arial" w:hAnsi="Arial" w:cs="Times New Roman"/>
      <w:szCs w:val="24"/>
    </w:rPr>
  </w:style>
  <w:style w:type="character" w:styleId="2Char1" w:customStyle="1">
    <w:name w:val="본문 들여쓰기 2 Char"/>
    <w:qFormat/>
    <w:rPr>
      <w:rFonts w:ascii="Arial" w:hAnsi="Arial" w:cs="Times New Roman"/>
      <w:szCs w:val="24"/>
      <w:lang w:eastAsia="de-DE"/>
    </w:rPr>
  </w:style>
  <w:style w:type="character" w:styleId="FootnoteCharacters" w:customStyle="1">
    <w:name w:val="Footnote Characters"/>
    <w:qFormat/>
    <w:rPr>
      <w:rFonts w:ascii="Arial" w:hAnsi="Arial"/>
      <w:sz w:val="16"/>
    </w:rPr>
  </w:style>
  <w:style w:type="character" w:styleId="FootnoteReference" w:customStyle="1">
    <w:name w:val="footnote reference"/>
    <w:qFormat/>
    <w:rPr>
      <w:rFonts w:ascii="Arial" w:hAnsi="Arial"/>
      <w:sz w:val="16"/>
      <w:vertAlign w:val="superscript"/>
    </w:rPr>
  </w:style>
  <w:style w:type="character" w:styleId="Char4" w:customStyle="1">
    <w:name w:val="각주 텍스트 Char"/>
    <w:qFormat/>
    <w:rPr>
      <w:rFonts w:ascii="Arial" w:hAnsi="Arial" w:cs="Times New Roman"/>
      <w:sz w:val="20"/>
      <w:szCs w:val="20"/>
    </w:rPr>
  </w:style>
  <w:style w:type="character" w:styleId="Char5" w:customStyle="1">
    <w:name w:val="부제 Char"/>
    <w:qFormat/>
    <w:rPr>
      <w:rFonts w:ascii="Arial" w:hAnsi="Arial" w:cs="Arial"/>
      <w:szCs w:val="24"/>
    </w:rPr>
  </w:style>
  <w:style w:type="character" w:styleId="Char6" w:customStyle="1">
    <w:name w:val="제목 Char"/>
    <w:qFormat/>
    <w:rPr>
      <w:rFonts w:ascii="Arial" w:hAnsi="Arial" w:cs="Arial"/>
      <w:b/>
      <w:bCs/>
      <w:kern w:val="2"/>
      <w:sz w:val="32"/>
      <w:szCs w:val="32"/>
    </w:rPr>
  </w:style>
  <w:style w:type="character" w:styleId="Char7" w:customStyle="1">
    <w:name w:val="풍선 도움말 텍스트 Char"/>
    <w:basedOn w:val="DefaultParagraphFont"/>
    <w:qFormat/>
    <w:rPr>
      <w:rFonts w:ascii="Tahoma" w:hAnsi="Tahoma" w:cs="Tahoma"/>
      <w:sz w:val="16"/>
      <w:szCs w:val="16"/>
    </w:rPr>
  </w:style>
  <w:style w:type="character" w:styleId="CommentReference">
    <w:name w:val="annotation reference"/>
    <w:basedOn w:val="DefaultParagraphFont"/>
    <w:qFormat/>
    <w:rPr>
      <w:sz w:val="16"/>
      <w:szCs w:val="16"/>
    </w:rPr>
  </w:style>
  <w:style w:type="character" w:styleId="Char8" w:customStyle="1">
    <w:name w:val="메모 텍스트 Char"/>
    <w:basedOn w:val="DefaultParagraphFont"/>
    <w:qFormat/>
    <w:rPr>
      <w:rFonts w:ascii="Arial" w:hAnsi="Arial" w:cs="Calibri"/>
    </w:rPr>
  </w:style>
  <w:style w:type="character" w:styleId="Char9" w:customStyle="1">
    <w:name w:val="메모 주제 Char"/>
    <w:basedOn w:val="Char8"/>
    <w:qFormat/>
    <w:rPr>
      <w:rFonts w:ascii="Arial" w:hAnsi="Arial" w:cs="Calibri"/>
      <w:b/>
      <w:bCs/>
    </w:rPr>
  </w:style>
  <w:style w:type="character" w:styleId="NumberingSymbols" w:customStyle="1">
    <w:name w:val="Numbering Symbols"/>
    <w:qFormat/>
    <w:rPr/>
  </w:style>
  <w:style w:type="character" w:styleId="Bullets" w:customStyle="1">
    <w:name w:val="Bullets"/>
    <w:qFormat/>
    <w:rPr>
      <w:rFonts w:ascii="OpenSymbol" w:hAnsi="OpenSymbol" w:eastAsia="OpenSymbol" w:cs="OpenSymbol"/>
    </w:rPr>
  </w:style>
  <w:style w:type="character" w:styleId="Strong">
    <w:name w:val="Strong"/>
    <w:basedOn w:val="DefaultParagraphFont"/>
    <w:uiPriority w:val="22"/>
    <w:qFormat/>
    <w:rsid w:val="00ef27ad"/>
    <w:rPr>
      <w:b/>
      <w:bCs/>
    </w:rPr>
  </w:style>
  <w:style w:type="character" w:styleId="Emphasis">
    <w:name w:val="Emphasis"/>
    <w:basedOn w:val="DefaultParagraphFont"/>
    <w:uiPriority w:val="20"/>
    <w:qFormat/>
    <w:rsid w:val="00ef27ad"/>
    <w:rPr>
      <w:i/>
      <w:iCs/>
    </w:rPr>
  </w:style>
  <w:style w:type="character" w:styleId="LineNumber">
    <w:name w:val="line number"/>
    <w:rPr/>
  </w:style>
  <w:style w:type="character" w:styleId="normaltextrun" w:customStyle="1">
    <w:name w:val="normaltextrun"/>
    <w:basedOn w:val="DefaultParagraphFont"/>
    <w:qFormat/>
    <w:rsid w:val="00574d27"/>
    <w:rPr/>
  </w:style>
  <w:style w:type="character" w:styleId="eop" w:customStyle="1">
    <w:name w:val="eop"/>
    <w:basedOn w:val="DefaultParagraphFont"/>
    <w:qFormat/>
    <w:rsid w:val="00547f4a"/>
    <w:rPr/>
  </w:style>
  <w:style w:type="paragraph" w:styleId="Heading" w:customStyle="1">
    <w:name w:val="Heading"/>
    <w:basedOn w:val="Normal"/>
    <w:next w:val="BodyText"/>
    <w:qFormat/>
    <w:pPr>
      <w:keepNext w:val="true"/>
      <w:spacing w:before="240" w:after="120"/>
    </w:pPr>
    <w:rPr>
      <w:rFonts w:ascii="Liberation Sans" w:hAnsi="Liberation Sans" w:eastAsia="PingFang SC" w:cs="Lucida Sans"/>
      <w:sz w:val="28"/>
      <w:szCs w:val="28"/>
    </w:rPr>
  </w:style>
  <w:style w:type="paragraph" w:styleId="BodyText">
    <w:name w:val="Body Text"/>
    <w:basedOn w:val="Normal"/>
    <w:pPr>
      <w:spacing w:before="0" w:after="120"/>
      <w:jc w:val="both"/>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Annex" w:customStyle="1">
    <w:name w:val="Annex"/>
    <w:basedOn w:val="Heading1"/>
    <w:next w:val="Normal"/>
    <w:qFormat/>
    <w:pPr>
      <w:numPr>
        <w:ilvl w:val="0"/>
        <w:numId w:val="0"/>
      </w:numPr>
      <w:tabs>
        <w:tab w:val="clear" w:pos="720"/>
        <w:tab w:val="left" w:pos="1701" w:leader="none"/>
      </w:tabs>
      <w:jc w:val="both"/>
      <w:outlineLvl w:val="9"/>
    </w:pPr>
    <w:rPr>
      <w:kern w:val="0"/>
      <w:lang w:eastAsia="en-GB"/>
    </w:rPr>
  </w:style>
  <w:style w:type="paragraph" w:styleId="AnnexFigure" w:customStyle="1">
    <w:name w:val="Annex Figure"/>
    <w:basedOn w:val="Normal"/>
    <w:next w:val="Normal"/>
    <w:qFormat/>
    <w:pPr>
      <w:numPr>
        <w:ilvl w:val="0"/>
        <w:numId w:val="2"/>
      </w:numPr>
      <w:spacing w:before="120" w:after="120"/>
      <w:jc w:val="center"/>
    </w:pPr>
    <w:rPr>
      <w:i/>
    </w:rPr>
  </w:style>
  <w:style w:type="paragraph" w:styleId="AnnexHeading1" w:customStyle="1">
    <w:name w:val="Annex Heading 1"/>
    <w:basedOn w:val="Normal"/>
    <w:next w:val="BodyText"/>
    <w:qFormat/>
    <w:pPr>
      <w:numPr>
        <w:ilvl w:val="0"/>
        <w:numId w:val="3"/>
      </w:numPr>
      <w:spacing w:before="120" w:after="120"/>
    </w:pPr>
    <w:rPr>
      <w:rFonts w:cs="Arial"/>
      <w:b/>
      <w:caps/>
      <w:sz w:val="24"/>
    </w:rPr>
  </w:style>
  <w:style w:type="paragraph" w:styleId="AnnexHeading2" w:customStyle="1">
    <w:name w:val="Annex Heading 2"/>
    <w:basedOn w:val="Normal"/>
    <w:next w:val="BodyText"/>
    <w:qFormat/>
    <w:pPr>
      <w:tabs>
        <w:tab w:val="clear" w:pos="720"/>
        <w:tab w:val="left" w:pos="567" w:leader="none"/>
      </w:tabs>
      <w:spacing w:before="120" w:after="120"/>
      <w:ind w:hanging="567" w:start="567"/>
    </w:pPr>
    <w:rPr>
      <w:rFonts w:cs="Arial"/>
      <w:b/>
    </w:rPr>
  </w:style>
  <w:style w:type="paragraph" w:styleId="AnnexHeading3" w:customStyle="1">
    <w:name w:val="Annex Heading 3"/>
    <w:basedOn w:val="Normal"/>
    <w:next w:val="Normal"/>
    <w:qFormat/>
    <w:pPr>
      <w:tabs>
        <w:tab w:val="clear" w:pos="720"/>
        <w:tab w:val="left" w:pos="567" w:leader="none"/>
      </w:tabs>
      <w:spacing w:before="120" w:after="120"/>
      <w:ind w:hanging="567" w:start="567"/>
    </w:pPr>
    <w:rPr>
      <w:rFonts w:cs="Arial"/>
    </w:rPr>
  </w:style>
  <w:style w:type="paragraph" w:styleId="AnnexHeading4" w:customStyle="1">
    <w:name w:val="Annex Heading 4"/>
    <w:basedOn w:val="Normal"/>
    <w:next w:val="BodyText"/>
    <w:qFormat/>
    <w:pPr>
      <w:tabs>
        <w:tab w:val="clear" w:pos="720"/>
        <w:tab w:val="left" w:pos="567" w:leader="none"/>
      </w:tabs>
      <w:spacing w:before="120" w:after="120"/>
      <w:ind w:hanging="567" w:start="567"/>
    </w:pPr>
    <w:rPr>
      <w:rFonts w:cs="Arial"/>
    </w:rPr>
  </w:style>
  <w:style w:type="paragraph" w:styleId="AnnexTable" w:customStyle="1">
    <w:name w:val="Annex Table"/>
    <w:basedOn w:val="Normal"/>
    <w:next w:val="Normal"/>
    <w:qFormat/>
    <w:pPr>
      <w:numPr>
        <w:ilvl w:val="0"/>
        <w:numId w:val="4"/>
      </w:numPr>
      <w:tabs>
        <w:tab w:val="clear" w:pos="720"/>
        <w:tab w:val="left" w:pos="1418" w:leader="none"/>
      </w:tabs>
      <w:spacing w:before="120" w:after="120"/>
      <w:jc w:val="center"/>
    </w:pPr>
    <w:rPr>
      <w:i/>
    </w:rPr>
  </w:style>
  <w:style w:type="paragraph" w:styleId="Bullet1" w:customStyle="1">
    <w:name w:val="Bullet 1"/>
    <w:basedOn w:val="Normal"/>
    <w:qFormat/>
    <w:pPr>
      <w:tabs>
        <w:tab w:val="clear" w:pos="720"/>
        <w:tab w:val="left" w:pos="1134" w:leader="none"/>
      </w:tabs>
      <w:spacing w:before="0" w:after="120"/>
      <w:ind w:hanging="567" w:start="1134"/>
      <w:jc w:val="both"/>
      <w:outlineLvl w:val="0"/>
    </w:pPr>
    <w:rPr>
      <w:rFonts w:cs="Arial"/>
      <w:lang w:eastAsia="de-DE"/>
    </w:rPr>
  </w:style>
  <w:style w:type="paragraph" w:styleId="Bullet1text" w:customStyle="1">
    <w:name w:val="Bullet 1 text"/>
    <w:basedOn w:val="Normal"/>
    <w:qFormat/>
    <w:pPr>
      <w:spacing w:before="0" w:after="120"/>
      <w:ind w:start="1134"/>
      <w:jc w:val="both"/>
    </w:pPr>
    <w:rPr>
      <w:rFonts w:cs="Arial"/>
      <w:lang w:val="fr-FR"/>
    </w:rPr>
  </w:style>
  <w:style w:type="paragraph" w:styleId="Bullet2" w:customStyle="1">
    <w:name w:val="Bullet 2"/>
    <w:basedOn w:val="Normal"/>
    <w:qFormat/>
    <w:pPr>
      <w:numPr>
        <w:ilvl w:val="0"/>
        <w:numId w:val="6"/>
      </w:numPr>
      <w:tabs>
        <w:tab w:val="clear" w:pos="720"/>
        <w:tab w:val="left" w:pos="1701" w:leader="none"/>
      </w:tabs>
      <w:spacing w:before="0" w:after="120"/>
      <w:ind w:hanging="567" w:start="1701"/>
      <w:jc w:val="both"/>
    </w:pPr>
    <w:rPr>
      <w:rFonts w:cs="Arial"/>
    </w:rPr>
  </w:style>
  <w:style w:type="paragraph" w:styleId="Bullet2text" w:customStyle="1">
    <w:name w:val="Bullet 2 text"/>
    <w:basedOn w:val="Normal"/>
    <w:qFormat/>
    <w:pPr>
      <w:spacing w:before="0" w:after="120"/>
      <w:ind w:start="1701"/>
      <w:jc w:val="both"/>
    </w:pPr>
    <w:rPr>
      <w:rFonts w:cs="Arial"/>
    </w:rPr>
  </w:style>
  <w:style w:type="paragraph" w:styleId="Bullet3" w:customStyle="1">
    <w:name w:val="Bullet 3"/>
    <w:basedOn w:val="Normal"/>
    <w:qFormat/>
    <w:pPr>
      <w:numPr>
        <w:ilvl w:val="0"/>
        <w:numId w:val="12"/>
      </w:numPr>
      <w:tabs>
        <w:tab w:val="clear" w:pos="720"/>
        <w:tab w:val="left" w:pos="2268" w:leader="none"/>
      </w:tabs>
      <w:spacing w:before="0" w:after="60"/>
      <w:ind w:hanging="567" w:start="2268"/>
      <w:jc w:val="both"/>
    </w:pPr>
    <w:rPr>
      <w:rFonts w:cs="Arial"/>
      <w:sz w:val="20"/>
    </w:rPr>
  </w:style>
  <w:style w:type="paragraph" w:styleId="Bullet3text" w:customStyle="1">
    <w:name w:val="Bullet 3 text"/>
    <w:basedOn w:val="Normal"/>
    <w:qFormat/>
    <w:pPr>
      <w:spacing w:before="0" w:after="60"/>
      <w:ind w:start="2268"/>
    </w:pPr>
    <w:rPr>
      <w:rFonts w:cs="Arial"/>
      <w:sz w:val="20"/>
    </w:rPr>
  </w:style>
  <w:style w:type="paragraph" w:styleId="Figure" w:customStyle="1">
    <w:name w:val="Figure_#"/>
    <w:basedOn w:val="Normal"/>
    <w:next w:val="Normal"/>
    <w:qFormat/>
    <w:pPr>
      <w:numPr>
        <w:ilvl w:val="0"/>
        <w:numId w:val="7"/>
      </w:numPr>
      <w:spacing w:before="120" w:after="120"/>
      <w:jc w:val="center"/>
    </w:pPr>
    <w:rPr>
      <w:i/>
      <w:szCs w:val="20"/>
    </w:rPr>
  </w:style>
  <w:style w:type="paragraph" w:styleId="HeaderandFooter" w:customStyle="1">
    <w:name w:val="Header and Footer"/>
    <w:basedOn w:val="Normal"/>
    <w:qFormat/>
    <w:pPr/>
    <w:rPr/>
  </w:style>
  <w:style w:type="paragraph" w:styleId="Footer">
    <w:name w:val="footer"/>
    <w:basedOn w:val="Normal"/>
    <w:pPr>
      <w:tabs>
        <w:tab w:val="clear" w:pos="720"/>
        <w:tab w:val="center" w:pos="4820" w:leader="none"/>
        <w:tab w:val="right" w:pos="9639" w:leader="none"/>
      </w:tabs>
    </w:pPr>
    <w:rPr/>
  </w:style>
  <w:style w:type="paragraph" w:styleId="Header">
    <w:name w:val="header"/>
    <w:basedOn w:val="Normal"/>
    <w:pPr>
      <w:tabs>
        <w:tab w:val="clear" w:pos="720"/>
        <w:tab w:val="center" w:pos="4820" w:leader="none"/>
        <w:tab w:val="right" w:pos="9639" w:leader="none"/>
      </w:tabs>
    </w:pPr>
    <w:rPr/>
  </w:style>
  <w:style w:type="paragraph" w:styleId="ListBullet3">
    <w:name w:val="List Bullet 3"/>
    <w:basedOn w:val="Normal"/>
    <w:qFormat/>
    <w:pPr>
      <w:numPr>
        <w:ilvl w:val="0"/>
        <w:numId w:val="10"/>
      </w:numPr>
      <w:spacing w:before="0" w:after="120"/>
      <w:jc w:val="both"/>
    </w:pPr>
    <w:rPr>
      <w:rFonts w:eastAsia="MS Mincho"/>
      <w:lang w:eastAsia="ja-JP"/>
    </w:rPr>
  </w:style>
  <w:style w:type="paragraph" w:styleId="List1indent2" w:customStyle="1">
    <w:name w:val="List 1 indent 2"/>
    <w:basedOn w:val="Normal"/>
    <w:qFormat/>
    <w:pPr>
      <w:widowControl w:val="false"/>
      <w:tabs>
        <w:tab w:val="clear" w:pos="720"/>
        <w:tab w:val="left" w:pos="567" w:leader="none"/>
      </w:tabs>
      <w:spacing w:before="0" w:after="120"/>
      <w:ind w:hanging="567" w:start="567"/>
      <w:jc w:val="both"/>
    </w:pPr>
    <w:rPr>
      <w:rFonts w:cs="Arial"/>
      <w:sz w:val="20"/>
      <w:szCs w:val="20"/>
    </w:rPr>
  </w:style>
  <w:style w:type="paragraph" w:styleId="List1indent2text" w:customStyle="1">
    <w:name w:val="List 1 indent 2 text"/>
    <w:basedOn w:val="Normal"/>
    <w:qFormat/>
    <w:pPr>
      <w:spacing w:before="0" w:after="60"/>
      <w:ind w:start="1701"/>
      <w:jc w:val="both"/>
    </w:pPr>
    <w:rPr>
      <w:rFonts w:cs="Arial"/>
      <w:sz w:val="20"/>
    </w:rPr>
  </w:style>
  <w:style w:type="paragraph" w:styleId="List1indenttext" w:customStyle="1">
    <w:name w:val="List 1 indent text"/>
    <w:basedOn w:val="Normal"/>
    <w:qFormat/>
    <w:pPr>
      <w:spacing w:before="0" w:after="120"/>
      <w:ind w:start="1134"/>
      <w:jc w:val="both"/>
    </w:pPr>
    <w:rPr>
      <w:szCs w:val="20"/>
    </w:rPr>
  </w:style>
  <w:style w:type="paragraph" w:styleId="List1text" w:customStyle="1">
    <w:name w:val="List 1 text"/>
    <w:basedOn w:val="Normal"/>
    <w:qFormat/>
    <w:pPr>
      <w:spacing w:before="0" w:after="120"/>
      <w:ind w:start="567"/>
    </w:pPr>
    <w:rPr>
      <w:rFonts w:cs="Arial"/>
    </w:rPr>
  </w:style>
  <w:style w:type="paragraph" w:styleId="TableofFigures">
    <w:name w:val="table of figures"/>
    <w:basedOn w:val="Normal"/>
    <w:next w:val="Normal"/>
    <w:qFormat/>
    <w:pPr>
      <w:tabs>
        <w:tab w:val="clear" w:pos="720"/>
        <w:tab w:val="left" w:pos="1418" w:leader="none"/>
        <w:tab w:val="right" w:pos="9639" w:leader="none"/>
      </w:tabs>
      <w:spacing w:before="60" w:after="60"/>
      <w:ind w:hanging="1418" w:start="1418" w:end="282"/>
    </w:pPr>
    <w:rPr>
      <w:rFonts w:eastAsia="Times New Roman" w:cs="Times New Roman"/>
      <w:szCs w:val="24"/>
      <w:lang w:eastAsia="en-US"/>
    </w:rPr>
  </w:style>
  <w:style w:type="paragraph" w:styleId="Table" w:customStyle="1">
    <w:name w:val="Table_#"/>
    <w:basedOn w:val="Normal"/>
    <w:next w:val="Normal"/>
    <w:qFormat/>
    <w:pPr>
      <w:numPr>
        <w:ilvl w:val="0"/>
        <w:numId w:val="9"/>
      </w:numPr>
      <w:spacing w:before="120" w:after="120"/>
      <w:jc w:val="center"/>
    </w:pPr>
    <w:rPr>
      <w:i/>
      <w:szCs w:val="20"/>
    </w:rPr>
  </w:style>
  <w:style w:type="paragraph" w:styleId="TOC1">
    <w:name w:val="toc 1"/>
    <w:basedOn w:val="Normal"/>
    <w:next w:val="Normal"/>
    <w:pPr>
      <w:tabs>
        <w:tab w:val="clear" w:pos="720"/>
        <w:tab w:val="left" w:pos="567" w:leader="none"/>
        <w:tab w:val="right" w:pos="9639" w:leader="none"/>
      </w:tabs>
      <w:spacing w:before="120" w:after="0"/>
      <w:ind w:end="284"/>
    </w:pPr>
    <w:rPr>
      <w:rFonts w:eastAsia="Times New Roman" w:cs="Arial"/>
      <w:bCs/>
      <w:iCs/>
      <w:caps/>
      <w:lang w:eastAsia="en-US"/>
    </w:rPr>
  </w:style>
  <w:style w:type="paragraph" w:styleId="TOC2">
    <w:name w:val="toc 2"/>
    <w:basedOn w:val="Normal"/>
    <w:next w:val="Normal"/>
    <w:pPr>
      <w:tabs>
        <w:tab w:val="clear" w:pos="720"/>
        <w:tab w:val="left" w:pos="1418" w:leader="none"/>
        <w:tab w:val="right" w:pos="9639" w:leader="none"/>
      </w:tabs>
      <w:spacing w:before="120" w:after="0"/>
      <w:ind w:hanging="851" w:start="1418" w:end="284"/>
    </w:pPr>
    <w:rPr>
      <w:rFonts w:eastAsia="Times New Roman" w:cs="Times New Roman"/>
      <w:bCs/>
      <w:szCs w:val="26"/>
      <w:lang w:eastAsia="en-US"/>
    </w:rPr>
  </w:style>
  <w:style w:type="paragraph" w:styleId="TOC3">
    <w:name w:val="toc 3"/>
    <w:basedOn w:val="Normal"/>
    <w:next w:val="Normal"/>
    <w:pPr>
      <w:tabs>
        <w:tab w:val="clear" w:pos="720"/>
        <w:tab w:val="left" w:pos="2268" w:leader="none"/>
        <w:tab w:val="right" w:pos="9639" w:leader="none"/>
      </w:tabs>
      <w:ind w:hanging="850" w:start="2268" w:end="284"/>
    </w:pPr>
    <w:rPr>
      <w:rFonts w:ascii="Calibri" w:hAnsi="Calibri" w:eastAsia="Times New Roman" w:cs="Times New Roman"/>
    </w:rPr>
  </w:style>
  <w:style w:type="paragraph" w:styleId="TOC4">
    <w:name w:val="toc 4"/>
    <w:basedOn w:val="Normal"/>
    <w:next w:val="Normal"/>
    <w:pPr>
      <w:tabs>
        <w:tab w:val="clear" w:pos="720"/>
        <w:tab w:val="left" w:pos="1418" w:leader="none"/>
        <w:tab w:val="right" w:pos="9639" w:leader="none"/>
      </w:tabs>
      <w:spacing w:before="120" w:after="120"/>
      <w:ind w:hanging="1418" w:start="1418" w:end="284"/>
    </w:pPr>
    <w:rPr>
      <w:rFonts w:eastAsia="Times New Roman" w:cs="Times New Roman"/>
      <w:b/>
      <w:caps/>
      <w:szCs w:val="24"/>
      <w:lang w:eastAsia="en-US"/>
    </w:rPr>
  </w:style>
  <w:style w:type="paragraph" w:styleId="TOC5">
    <w:name w:val="toc 5"/>
    <w:basedOn w:val="Normal"/>
    <w:next w:val="Normal"/>
    <w:autoRedefine/>
    <w:pPr>
      <w:ind w:start="880"/>
    </w:pPr>
    <w:rPr>
      <w:rFonts w:ascii="Times New Roman" w:hAnsi="Times New Roman" w:eastAsia="Times New Roman" w:cs="Times New Roman"/>
      <w:szCs w:val="24"/>
      <w:lang w:eastAsia="en-US"/>
    </w:rPr>
  </w:style>
  <w:style w:type="paragraph" w:styleId="TOC6">
    <w:name w:val="toc 6"/>
    <w:basedOn w:val="Normal"/>
    <w:next w:val="Normal"/>
    <w:autoRedefine/>
    <w:pPr>
      <w:ind w:start="1100"/>
    </w:pPr>
    <w:rPr>
      <w:rFonts w:ascii="Times New Roman" w:hAnsi="Times New Roman" w:eastAsia="Times New Roman" w:cs="Times New Roman"/>
      <w:szCs w:val="24"/>
      <w:lang w:eastAsia="en-US"/>
    </w:rPr>
  </w:style>
  <w:style w:type="paragraph" w:styleId="TOC7">
    <w:name w:val="toc 7"/>
    <w:basedOn w:val="Normal"/>
    <w:next w:val="Normal"/>
    <w:autoRedefine/>
    <w:pPr>
      <w:ind w:start="1200"/>
    </w:pPr>
    <w:rPr>
      <w:sz w:val="20"/>
      <w:szCs w:val="20"/>
    </w:rPr>
  </w:style>
  <w:style w:type="paragraph" w:styleId="TOC8">
    <w:name w:val="toc 8"/>
    <w:basedOn w:val="Normal"/>
    <w:next w:val="Normal"/>
    <w:autoRedefine/>
    <w:pPr>
      <w:ind w:start="1440"/>
    </w:pPr>
    <w:rPr>
      <w:sz w:val="20"/>
      <w:szCs w:val="20"/>
    </w:rPr>
  </w:style>
  <w:style w:type="paragraph" w:styleId="TOC9">
    <w:name w:val="toc 9"/>
    <w:basedOn w:val="Normal"/>
    <w:next w:val="Normal"/>
    <w:autoRedefine/>
    <w:pPr>
      <w:ind w:start="1680"/>
    </w:pPr>
    <w:rPr>
      <w:sz w:val="20"/>
      <w:szCs w:val="20"/>
    </w:rPr>
  </w:style>
  <w:style w:type="paragraph" w:styleId="BodyTextIndent">
    <w:name w:val="Body Text Indent"/>
    <w:basedOn w:val="Normal"/>
    <w:pPr>
      <w:spacing w:before="0" w:after="120"/>
      <w:ind w:start="567"/>
    </w:pPr>
    <w:rPr/>
  </w:style>
  <w:style w:type="paragraph" w:styleId="BodyTextIndent2">
    <w:name w:val="Body Text Indent 2"/>
    <w:basedOn w:val="Normal"/>
    <w:qFormat/>
    <w:pPr>
      <w:spacing w:before="0" w:after="120"/>
      <w:ind w:start="1134"/>
      <w:jc w:val="both"/>
    </w:pPr>
    <w:rPr>
      <w:lang w:eastAsia="de-DE"/>
    </w:rPr>
  </w:style>
  <w:style w:type="paragraph" w:styleId="FootnoteText">
    <w:name w:val="footnote text"/>
    <w:basedOn w:val="Normal"/>
    <w:pPr/>
    <w:rPr>
      <w:sz w:val="20"/>
      <w:szCs w:val="20"/>
    </w:rPr>
  </w:style>
  <w:style w:type="paragraph" w:styleId="Subtitle">
    <w:name w:val="Subtitle"/>
    <w:basedOn w:val="Normal"/>
    <w:uiPriority w:val="11"/>
    <w:qFormat/>
    <w:pPr>
      <w:spacing w:before="0" w:after="60"/>
      <w:jc w:val="center"/>
      <w:outlineLvl w:val="1"/>
    </w:pPr>
    <w:rPr>
      <w:rFonts w:cs="Arial"/>
    </w:rPr>
  </w:style>
  <w:style w:type="paragraph" w:styleId="Title">
    <w:name w:val="Title"/>
    <w:basedOn w:val="Normal"/>
    <w:uiPriority w:val="10"/>
    <w:qFormat/>
    <w:pPr>
      <w:spacing w:before="120" w:after="240"/>
      <w:jc w:val="center"/>
      <w:outlineLvl w:val="0"/>
    </w:pPr>
    <w:rPr>
      <w:rFonts w:cs="Arial"/>
      <w:b/>
      <w:bCs/>
      <w:kern w:val="2"/>
      <w:sz w:val="32"/>
      <w:szCs w:val="32"/>
    </w:rPr>
  </w:style>
  <w:style w:type="paragraph" w:styleId="List1indent1" w:customStyle="1">
    <w:name w:val="List 1 indent 1"/>
    <w:basedOn w:val="Normal"/>
    <w:qFormat/>
    <w:pPr>
      <w:tabs>
        <w:tab w:val="clear" w:pos="720"/>
        <w:tab w:val="left" w:pos="567" w:leader="none"/>
      </w:tabs>
      <w:spacing w:before="0" w:after="120"/>
      <w:ind w:hanging="567" w:start="567"/>
      <w:jc w:val="both"/>
    </w:pPr>
    <w:rPr>
      <w:rFonts w:cs="Arial"/>
    </w:rPr>
  </w:style>
  <w:style w:type="paragraph" w:styleId="List1indent1text" w:customStyle="1">
    <w:name w:val="List 1 indent 1 text"/>
    <w:basedOn w:val="Normal"/>
    <w:qFormat/>
    <w:pPr>
      <w:spacing w:before="0" w:after="120"/>
      <w:ind w:start="1134"/>
      <w:jc w:val="both"/>
    </w:pPr>
    <w:rPr>
      <w:rFonts w:cs="Arial"/>
      <w:lang w:eastAsia="fr-FR"/>
    </w:rPr>
  </w:style>
  <w:style w:type="paragraph" w:styleId="References" w:customStyle="1">
    <w:name w:val="References"/>
    <w:basedOn w:val="Normal"/>
    <w:qFormat/>
    <w:pPr>
      <w:numPr>
        <w:ilvl w:val="0"/>
        <w:numId w:val="8"/>
      </w:numPr>
      <w:spacing w:before="0" w:after="120"/>
    </w:pPr>
    <w:rPr>
      <w:szCs w:val="20"/>
    </w:rPr>
  </w:style>
  <w:style w:type="paragraph" w:styleId="AppendixHeading1" w:customStyle="1">
    <w:name w:val="Appendix Heading 1"/>
    <w:basedOn w:val="Normal"/>
    <w:next w:val="BodyText"/>
    <w:qFormat/>
    <w:pPr>
      <w:numPr>
        <w:ilvl w:val="0"/>
        <w:numId w:val="5"/>
      </w:numPr>
      <w:spacing w:before="120" w:after="120"/>
    </w:pPr>
    <w:rPr>
      <w:rFonts w:cs="Arial"/>
      <w:b/>
      <w:caps/>
      <w:sz w:val="24"/>
    </w:rPr>
  </w:style>
  <w:style w:type="paragraph" w:styleId="AppendixHeading2" w:customStyle="1">
    <w:name w:val="Appendix Heading 2"/>
    <w:basedOn w:val="Normal"/>
    <w:next w:val="BodyText"/>
    <w:qFormat/>
    <w:pPr>
      <w:tabs>
        <w:tab w:val="clear" w:pos="720"/>
        <w:tab w:val="left" w:pos="567" w:leader="none"/>
      </w:tabs>
      <w:spacing w:before="120" w:after="120"/>
      <w:ind w:hanging="567" w:start="567"/>
    </w:pPr>
    <w:rPr>
      <w:rFonts w:cs="Arial"/>
      <w:b/>
    </w:rPr>
  </w:style>
  <w:style w:type="paragraph" w:styleId="AppendixHeading3" w:customStyle="1">
    <w:name w:val="Appendix Heading 3"/>
    <w:basedOn w:val="Normal"/>
    <w:next w:val="Normal"/>
    <w:qFormat/>
    <w:pPr>
      <w:tabs>
        <w:tab w:val="clear" w:pos="720"/>
        <w:tab w:val="left" w:pos="567" w:leader="none"/>
      </w:tabs>
      <w:spacing w:before="120" w:after="120"/>
      <w:ind w:hanging="567" w:start="567"/>
    </w:pPr>
    <w:rPr>
      <w:rFonts w:cs="Arial"/>
    </w:rPr>
  </w:style>
  <w:style w:type="paragraph" w:styleId="AppendixHeading4" w:customStyle="1">
    <w:name w:val="Appendix Heading 4"/>
    <w:basedOn w:val="Normal"/>
    <w:next w:val="BodyText"/>
    <w:qFormat/>
    <w:pPr>
      <w:tabs>
        <w:tab w:val="clear" w:pos="720"/>
        <w:tab w:val="left" w:pos="567" w:leader="none"/>
      </w:tabs>
      <w:spacing w:before="120" w:after="120"/>
      <w:ind w:hanging="567" w:start="567"/>
    </w:pPr>
    <w:rPr>
      <w:rFonts w:cs="Arial"/>
    </w:rPr>
  </w:style>
  <w:style w:type="paragraph" w:styleId="equation" w:customStyle="1">
    <w:name w:val="equation"/>
    <w:basedOn w:val="Normal"/>
    <w:next w:val="BodyText"/>
    <w:qFormat/>
    <w:pPr>
      <w:keepNext w:val="true"/>
      <w:numPr>
        <w:ilvl w:val="0"/>
        <w:numId w:val="11"/>
      </w:numPr>
      <w:tabs>
        <w:tab w:val="clear" w:pos="720"/>
        <w:tab w:val="left" w:pos="142" w:leader="none"/>
      </w:tabs>
      <w:spacing w:before="0" w:after="120"/>
      <w:jc w:val="end"/>
    </w:pPr>
    <w:rPr>
      <w:rFonts w:eastAsia="Times New Roman" w:cs="Times New Roman"/>
      <w:szCs w:val="24"/>
      <w:lang w:eastAsia="en-US"/>
    </w:rPr>
  </w:style>
  <w:style w:type="paragraph" w:styleId="Closing">
    <w:name w:val="Closing"/>
    <w:basedOn w:val="Normal"/>
    <w:next w:val="Normal"/>
    <w:qFormat/>
    <w:pPr>
      <w:numPr>
        <w:ilvl w:val="0"/>
        <w:numId w:val="13"/>
      </w:numPr>
      <w:spacing w:before="120" w:after="240"/>
      <w:ind w:hanging="1985" w:start="1985"/>
    </w:pPr>
    <w:rPr>
      <w:b/>
      <w:sz w:val="24"/>
      <w:szCs w:val="28"/>
      <w:lang w:eastAsia="en-US"/>
    </w:rPr>
  </w:style>
  <w:style w:type="paragraph" w:styleId="BalloonText">
    <w:name w:val="Balloon Text"/>
    <w:basedOn w:val="Normal"/>
    <w:qFormat/>
    <w:pPr/>
    <w:rPr>
      <w:rFonts w:ascii="Tahoma" w:hAnsi="Tahoma" w:cs="Tahoma"/>
      <w:sz w:val="16"/>
      <w:szCs w:val="16"/>
    </w:rPr>
  </w:style>
  <w:style w:type="paragraph" w:styleId="ListParagraph">
    <w:name w:val="List Paragraph"/>
    <w:basedOn w:val="Normal"/>
    <w:qFormat/>
    <w:pPr>
      <w:spacing w:before="0" w:after="0"/>
      <w:ind w:start="720"/>
      <w:contextualSpacing/>
    </w:pPr>
    <w:rPr/>
  </w:style>
  <w:style w:type="paragraph" w:styleId="CommentText">
    <w:name w:val="annotation text"/>
    <w:basedOn w:val="Normal"/>
    <w:qFormat/>
    <w:pPr/>
    <w:rPr>
      <w:sz w:val="20"/>
      <w:szCs w:val="20"/>
    </w:rPr>
  </w:style>
  <w:style w:type="paragraph" w:styleId="annotationsubject">
    <w:name w:val="annotation subject"/>
    <w:basedOn w:val="CommentText"/>
    <w:next w:val="CommentText"/>
    <w:qFormat/>
    <w:pPr/>
    <w:rPr>
      <w:b/>
      <w:bCs/>
    </w:rPr>
  </w:style>
  <w:style w:type="paragraph" w:styleId="NormalWeb">
    <w:name w:val="Normal (Web)"/>
    <w:basedOn w:val="Normal"/>
    <w:qFormat/>
    <w:pPr>
      <w:spacing w:before="280" w:after="280"/>
    </w:pPr>
    <w:rPr>
      <w:rFonts w:ascii="Times New Roman" w:hAnsi="Times New Roman" w:eastAsia="MS Mincho" w:cs="Times New Roman"/>
      <w:sz w:val="24"/>
      <w:szCs w:val="24"/>
      <w:lang w:val="da-DK" w:eastAsia="en-US"/>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paragraph" w:styleId="Revision">
    <w:name w:val="Revision"/>
    <w:uiPriority w:val="99"/>
    <w:semiHidden/>
    <w:qFormat/>
    <w:rsid w:val="00821755"/>
    <w:pPr>
      <w:widowControl/>
      <w:suppressAutoHyphens w:val="false"/>
      <w:bidi w:val="0"/>
      <w:spacing w:before="0" w:after="0"/>
      <w:jc w:val="start"/>
    </w:pPr>
    <w:rPr>
      <w:rFonts w:ascii="Arial" w:hAnsi="Arial" w:cs="Calibri" w:eastAsia="Batang"/>
      <w:color w:val="auto"/>
      <w:kern w:val="0"/>
      <w:sz w:val="22"/>
      <w:szCs w:val="22"/>
      <w:lang w:val="en-GB" w:eastAsia="en-GB" w:bidi="ar-SA"/>
    </w:rPr>
  </w:style>
  <w:style w:type="numbering" w:styleId="NoList" w:default="1">
    <w:name w:val="No List"/>
    <w:uiPriority w:val="99"/>
    <w:semiHidden/>
    <w:unhideWhenUsed/>
    <w:qFormat/>
  </w:style>
  <w:style w:type="numbering" w:styleId="OutlineList3">
    <w:name w:val="Outline List 3"/>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ef27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5Dark-Accent5">
    <w:name w:val="Grid Table 5 Dark Accent 5"/>
    <w:basedOn w:val="TableNormal"/>
    <w:uiPriority w:val="50"/>
    <w:rsid w:val="00ef27ad"/>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1">
    <w:name w:val="Grid Table 4 Accent 1"/>
    <w:basedOn w:val="TableNormal"/>
    <w:uiPriority w:val="49"/>
    <w:rsid w:val="00ef27ad"/>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Pr/>
    </w:tblStylePr>
    <w:tblStylePr w:type="lastCol">
      <w:rPr>
        <w:b/>
        <w:bCs/>
      </w:rPr>
      <w:tbl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ef27ad"/>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Pr/>
    </w:tblStylePr>
    <w:tblStylePr w:type="lastCol">
      <w:rPr>
        <w:b/>
        <w:bCs/>
      </w:rPr>
      <w:tbl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customXml" Target="../customXml/item2.xml"/><Relationship Id="rId3" Type="http://schemas.openxmlformats.org/officeDocument/2006/relationships/header" Target="header2.xml"/><Relationship Id="rId7" Type="http://schemas.openxmlformats.org/officeDocument/2006/relationships/footer" Target="footer3.xml"/><Relationship Id="rId12" Type="http://schemas.openxmlformats.org/officeDocument/2006/relationships/customXml" Target="../customXml/item1.xml"/><Relationship Id="rId2" Type="http://schemas.openxmlformats.org/officeDocument/2006/relationships/header" Target="header1.xml"/><Relationship Id="rId1" Type="http://schemas.openxmlformats.org/officeDocument/2006/relationships/styles" Target="styles.xml"/><Relationship Id="rId6" Type="http://schemas.openxmlformats.org/officeDocument/2006/relationships/footer" Target="footer2.xml"/><Relationship Id="rId11" Type="http://schemas.openxmlformats.org/officeDocument/2006/relationships/theme" Target="theme/theme1.xml"/><Relationship Id="rId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header" Target="header3.xml"/><Relationship Id="rId9" Type="http://schemas.openxmlformats.org/officeDocument/2006/relationships/fontTable" Target="fontTable.xml"/><Relationship Id="rId14" Type="http://schemas.openxmlformats.org/officeDocument/2006/relationships/customXml" Target="../customXml/item3.xml"/></Relationships>
</file>

<file path=word/_rels/header2.xml.rels><?xml version="1.0" encoding="UTF-8"?>
<Relationships xmlns="http://schemas.openxmlformats.org/package/2006/relationships"><Relationship Id="rId1" Type="http://schemas.openxmlformats.org/officeDocument/2006/relationships/image" Target="media/image1.tif"/>
</Relationships>
</file>

<file path=word/_rels/header3.xml.rels><?xml version="1.0" encoding="UTF-8"?>
<Relationships xmlns="http://schemas.openxmlformats.org/package/2006/relationships"><Relationship Id="rId1" Type="http://schemas.openxmlformats.org/officeDocument/2006/relationships/image" Target="media/image1.tif"/>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D656899F-AFF6-417D-8ED0-04CFD5C6CE37}"/>
</file>

<file path=customXml/itemProps2.xml><?xml version="1.0" encoding="utf-8"?>
<ds:datastoreItem xmlns:ds="http://schemas.openxmlformats.org/officeDocument/2006/customXml" ds:itemID="{5B3DE80B-77B0-49AE-8D15-073A2F704C2A}"/>
</file>

<file path=customXml/itemProps3.xml><?xml version="1.0" encoding="utf-8"?>
<ds:datastoreItem xmlns:ds="http://schemas.openxmlformats.org/officeDocument/2006/customXml" ds:itemID="{F35D1255-00DA-43E1-B7C6-B4F90B8227AC}"/>
</file>

<file path=docProps/app.xml><?xml version="1.0" encoding="utf-8"?>
<Properties xmlns="http://schemas.openxmlformats.org/officeDocument/2006/extended-properties" xmlns:vt="http://schemas.openxmlformats.org/officeDocument/2006/docPropsVTypes">
  <Template>Normal.dotm</Template>
  <TotalTime>6</TotalTime>
  <Application>LibreOffice/25.8.4.2$MacOSX_AARCH64 LibreOffice_project/290daaa01b999472f0c7a3890eb6a550fd74c6df</Application>
  <AppVersion>15.0000</AppVersion>
  <Pages>5</Pages>
  <Words>964</Words>
  <Characters>5936</Characters>
  <CharactersWithSpaces>6760</CharactersWithSpaces>
  <Paragraphs>130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Thomas Christensen</cp:lastModifiedBy>
  <cp:revision>3</cp:revision>
  <dcterms:created xsi:type="dcterms:W3CDTF">2026-02-18T11:49:00Z</dcterms:created>
  <dcterms:modified xsi:type="dcterms:W3CDTF">2026-03-12T15:32:34Z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ies>
</file>